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B4505B">
      <w:pPr>
        <w:pStyle w:val="Title"/>
        <w:widowControl/>
      </w:pPr>
      <w:r>
        <w:t>VIPER 3.0 - A Vortex Diffusion Based Aircraft Wake Model</w:t>
      </w:r>
    </w:p>
    <w:p w:rsidR="00000000" w:rsidRDefault="00B4505B">
      <w:pPr>
        <w:pStyle w:val="author"/>
        <w:widowControl/>
        <w:ind w:firstLine="360"/>
        <w:rPr>
          <w:b/>
          <w:bCs/>
        </w:rPr>
      </w:pPr>
      <w:r>
        <w:t xml:space="preserve"> </w:t>
      </w:r>
      <w:r>
        <w:rPr>
          <w:b/>
          <w:bCs/>
        </w:rPr>
        <w:t>Thomas S. Lund</w:t>
      </w:r>
      <w:r>
        <w:rPr>
          <w:b/>
          <w:bCs/>
        </w:rPr>
        <w:t xml:space="preserve"> </w:t>
      </w:r>
    </w:p>
    <w:p w:rsidR="00000000" w:rsidRDefault="00B4505B">
      <w:pPr>
        <w:pStyle w:val="author"/>
        <w:widowControl/>
        <w:spacing w:before="722"/>
      </w:pPr>
    </w:p>
    <w:p w:rsidR="00000000" w:rsidRDefault="00B4505B">
      <w:pPr>
        <w:pStyle w:val="centerpar"/>
        <w:ind w:firstLine="360"/>
        <w:rPr>
          <w:b/>
          <w:bCs/>
        </w:rPr>
      </w:pPr>
      <w:r>
        <w:rPr>
          <w:b/>
          <w:bCs/>
        </w:rPr>
        <w:t xml:space="preserve"> Northwest Research Associates </w:t>
      </w:r>
    </w:p>
    <w:p w:rsidR="00000000" w:rsidRDefault="00B4505B">
      <w:pPr>
        <w:pStyle w:val="centerpar"/>
      </w:pPr>
    </w:p>
    <w:p w:rsidR="00000000" w:rsidRDefault="00B4505B">
      <w:pPr>
        <w:pStyle w:val="centerpar"/>
        <w:ind w:firstLine="360"/>
        <w:rPr>
          <w:b/>
          <w:bCs/>
        </w:rPr>
      </w:pPr>
      <w:r>
        <w:rPr>
          <w:b/>
          <w:bCs/>
        </w:rPr>
        <w:t xml:space="preserve">CoRA Office </w:t>
      </w:r>
    </w:p>
    <w:p w:rsidR="00000000" w:rsidRDefault="00B4505B">
      <w:pPr>
        <w:pStyle w:val="centerpar"/>
      </w:pPr>
    </w:p>
    <w:p w:rsidR="00000000" w:rsidRDefault="00B4505B">
      <w:pPr>
        <w:pStyle w:val="centerpar"/>
        <w:ind w:firstLine="360"/>
        <w:rPr>
          <w:b/>
          <w:bCs/>
        </w:rPr>
      </w:pPr>
      <w:r>
        <w:rPr>
          <w:b/>
          <w:bCs/>
        </w:rPr>
        <w:t xml:space="preserve">3380 Mitchell Lane, Boulder, CO 80301 </w:t>
      </w:r>
    </w:p>
    <w:p w:rsidR="00000000" w:rsidRDefault="00B4505B">
      <w:pPr>
        <w:pStyle w:val="centerpar"/>
        <w:spacing w:before="2168"/>
      </w:pPr>
    </w:p>
    <w:p w:rsidR="00000000" w:rsidRDefault="00B4505B">
      <w:pPr>
        <w:pStyle w:val="centerpar"/>
        <w:ind w:firstLine="360"/>
        <w:rPr>
          <w:b/>
          <w:bCs/>
        </w:rPr>
      </w:pPr>
      <w:r>
        <w:rPr>
          <w:b/>
          <w:bCs/>
        </w:rPr>
        <w:t xml:space="preserve"> </w:t>
      </w:r>
    </w:p>
    <w:p w:rsidR="00000000" w:rsidRDefault="00B4505B">
      <w:pPr>
        <w:pStyle w:val="author"/>
        <w:widowControl/>
        <w:ind w:firstLine="360"/>
      </w:pPr>
    </w:p>
    <w:p w:rsidR="00000000" w:rsidRDefault="00B4505B">
      <w:pPr>
        <w:pStyle w:val="centerpar"/>
        <w:ind w:firstLine="360"/>
        <w:rPr>
          <w:b/>
          <w:bCs/>
        </w:rPr>
      </w:pPr>
      <w:r>
        <w:rPr>
          <w:b/>
          <w:bCs/>
        </w:rPr>
        <w:fldChar w:fldCharType="begin"/>
      </w:r>
      <w:r>
        <w:rPr>
          <w:b/>
          <w:bCs/>
        </w:rPr>
        <w:instrText>date</w:instrText>
      </w:r>
      <w:r>
        <w:rPr>
          <w:b/>
          <w:bCs/>
        </w:rPr>
        <w:fldChar w:fldCharType="separate"/>
      </w:r>
      <w:r>
        <w:rPr>
          <w:b/>
          <w:bCs/>
        </w:rPr>
        <w:t>3/8/2016</w:t>
      </w:r>
      <w:r>
        <w:rPr>
          <w:b/>
          <w:bCs/>
        </w:rPr>
        <w:fldChar w:fldCharType="end"/>
      </w:r>
    </w:p>
    <w:p w:rsidR="00000000" w:rsidRDefault="00B4505B">
      <w:pPr>
        <w:pStyle w:val="Heading2"/>
        <w:widowControl/>
      </w:pPr>
      <w:r>
        <w:t>1  Coordinate System and Basic Assumptions</w:t>
      </w:r>
    </w:p>
    <w:p w:rsidR="00000000" w:rsidRDefault="00B4505B">
      <w:pPr>
        <w:pStyle w:val="Figure"/>
        <w:spacing w:before="300"/>
        <w:rPr>
          <w:sz w:val="24"/>
          <w:szCs w:val="24"/>
        </w:rPr>
      </w:pPr>
    </w:p>
    <w:p w:rsidR="00000000" w:rsidRDefault="00B4505B">
      <w:pPr>
        <w:pStyle w:val="centerpar"/>
        <w:ind w:firstLine="360"/>
      </w:pPr>
      <w:r>
        <w:lastRenderedPageBreak/>
        <w:drawing>
          <wp:inline distT="0" distB="0" distL="0" distR="0">
            <wp:extent cx="4057650" cy="25273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057650" cy="2527300"/>
                    </a:xfrm>
                    <a:prstGeom prst="rect">
                      <a:avLst/>
                    </a:prstGeom>
                    <a:noFill/>
                    <a:ln w="9525">
                      <a:noFill/>
                      <a:miter lim="800000"/>
                      <a:headEnd/>
                      <a:tailEnd/>
                    </a:ln>
                  </pic:spPr>
                </pic:pic>
              </a:graphicData>
            </a:graphic>
          </wp:inline>
        </w:drawing>
      </w:r>
      <w:r>
        <w:t xml:space="preserve"> </w:t>
      </w:r>
    </w:p>
    <w:p w:rsidR="00000000" w:rsidRDefault="00B4505B">
      <w:pPr>
        <w:pStyle w:val="Caption"/>
      </w:pPr>
      <w:r>
        <w:t xml:space="preserve">Figure </w:t>
      </w:r>
      <w:bookmarkStart w:id="0" w:name="BMfig_coordinate_system"/>
      <w:r>
        <w:t>1</w:t>
      </w:r>
      <w:bookmarkEnd w:id="0"/>
      <w:r>
        <w:t xml:space="preserve">: Aircraft </w:t>
      </w:r>
      <w:r>
        <w:t>vortex wake and the coordinate system used to describe it.</w:t>
      </w:r>
      <w:r>
        <w:fldChar w:fldCharType="begin"/>
      </w:r>
      <w:r>
        <w:instrText>TC "1 Aircraft vortex wake and the coordinate system used to describe it." \f f</w:instrText>
      </w:r>
      <w:r>
        <w:fldChar w:fldCharType="end"/>
      </w:r>
    </w:p>
    <w:p w:rsidR="00000000" w:rsidRDefault="00B4505B">
      <w:pPr>
        <w:spacing w:before="240"/>
        <w:ind w:firstLine="360"/>
      </w:pPr>
      <w:r>
        <w:t>Our objective is to predict the time evolution of an aircraft vortex wake as observed in an earth-fixed frame. Figur</w:t>
      </w:r>
      <w:r>
        <w:t xml:space="preserve">e </w:t>
      </w:r>
      <w:fldSimple w:instr="REF BMfig_coordinate_system \* MERGEFORMAT ">
        <w:r>
          <w:t>1</w:t>
        </w:r>
      </w:fldSimple>
      <w:r>
        <w:t xml:space="preserve"> illustrates the situation where an aircraft passes through the fixed </w:t>
      </w:r>
      <w:r>
        <w:rPr>
          <w:i/>
          <w:iCs/>
        </w:rPr>
        <w:t>y</w:t>
      </w:r>
      <w:r>
        <w:t>-</w:t>
      </w:r>
      <w:r>
        <w:rPr>
          <w:i/>
          <w:iCs/>
        </w:rPr>
        <w:t>z</w:t>
      </w:r>
      <w:r>
        <w:t xml:space="preserve"> measurement plane at time </w:t>
      </w:r>
      <w:r>
        <w:rPr>
          <w:i/>
          <w:iCs/>
        </w:rPr>
        <w:t>t</w:t>
      </w:r>
      <w:r>
        <w:t>=0. As time goes on, the vortices contained in the measurement plane decay in strength and generally desce</w:t>
      </w:r>
      <w:r>
        <w:t>nd towards the ground. They may also advect laterally due to a crosswind.</w:t>
      </w:r>
    </w:p>
    <w:p w:rsidR="00000000" w:rsidRDefault="00B4505B">
      <w:pPr>
        <w:ind w:firstLine="360"/>
      </w:pPr>
      <w:r>
        <w:t>Like nearly all prior vortex wake models, we idealize the flow as being contained to the measurement plane (i.e. two-dimensional). This idealization precludes any axial flow within t</w:t>
      </w:r>
      <w:r>
        <w:t xml:space="preserve">he vortex system and also precludes any associated axial mass, momentum, or energy transport. The effects of a headwind are accounted for directly by varying the vortex release points (in </w:t>
      </w:r>
      <w:r>
        <w:rPr>
          <w:i/>
          <w:iCs/>
        </w:rPr>
        <w:t>x</w:t>
      </w:r>
      <w:r>
        <w:t xml:space="preserve"> and </w:t>
      </w:r>
      <w:r>
        <w:rPr>
          <w:i/>
          <w:iCs/>
        </w:rPr>
        <w:t>z</w:t>
      </w:r>
      <w:r>
        <w:t>) at each time step so that the vortices advect back to the m</w:t>
      </w:r>
      <w:r>
        <w:t>easurement plane exactly at each model output time.</w:t>
      </w:r>
    </w:p>
    <w:p w:rsidR="00000000" w:rsidRDefault="00B4505B">
      <w:pPr>
        <w:ind w:firstLine="360"/>
      </w:pPr>
      <w:r>
        <w:t>In addition to the effects of winds noted above, the model will also account for the effects of stable stratification, ambient turbulence, and for crosswind shear gradients.</w:t>
      </w:r>
    </w:p>
    <w:p w:rsidR="00000000" w:rsidRDefault="00B4505B">
      <w:pPr>
        <w:pStyle w:val="Heading2"/>
        <w:widowControl/>
      </w:pPr>
      <w:r>
        <w:t>2  Vortex Diffusion</w:t>
      </w:r>
    </w:p>
    <w:p w:rsidR="00000000" w:rsidRDefault="00B4505B">
      <w:pPr>
        <w:pStyle w:val="Heading3"/>
        <w:widowControl/>
        <w:spacing w:before="180"/>
      </w:pPr>
      <w:r>
        <w:t>2.1  Experimental Observations</w:t>
      </w:r>
    </w:p>
    <w:p w:rsidR="00000000" w:rsidRDefault="00B4505B">
      <w:pPr>
        <w:spacing w:before="60"/>
      </w:pPr>
      <w:r>
        <w:t>The starting point for our vortex wake model is a simple description for the decay of the two wing tip vortices. Experimentally[</w:t>
      </w:r>
      <w:fldSimple w:instr="REF BIB_bh78 \* MERGEFORMAT ">
        <w:r>
          <w:t>1</w:t>
        </w:r>
      </w:fldSimple>
      <w:r>
        <w:t xml:space="preserve">, </w:t>
      </w:r>
      <w:fldSimple w:instr="REF BIB_bh82 \* MERGEFORMAT ">
        <w:r>
          <w:t>2</w:t>
        </w:r>
      </w:fldSimple>
      <w:r>
        <w:t xml:space="preserve">, </w:t>
      </w:r>
      <w:fldSimple w:instr="REF BIB_delisi03 \* MERGEFORMAT ">
        <w:r>
          <w:t>4</w:t>
        </w:r>
      </w:fldSimple>
      <w:r>
        <w:t xml:space="preserve">, </w:t>
      </w:r>
      <w:fldSimple w:instr="REF BIB_bh13 \* MERGEFORMAT ">
        <w:r>
          <w:t>3</w:t>
        </w:r>
      </w:fldSimple>
      <w:r>
        <w:t xml:space="preserve">] it is found that the flow within each vortex is very nearly axisymmetric and obeys the following simple azimuthal velocity distribution, known as the Burnham-Hallock (BH) profile: </w:t>
      </w:r>
    </w:p>
    <w:p w:rsidR="00000000" w:rsidRDefault="00B4505B">
      <w:pPr>
        <w:pStyle w:val="equationNum"/>
        <w:tabs>
          <w:tab w:val="center" w:pos="4336"/>
          <w:tab w:val="right" w:pos="8672"/>
        </w:tabs>
      </w:pPr>
      <w:r>
        <w:tab/>
      </w:r>
      <w:r>
        <w:fldChar w:fldCharType="begin"/>
      </w:r>
      <w:r>
        <w:instrText xml:space="preserve"> EQ </w:instrText>
      </w:r>
      <w:r>
        <w:rPr>
          <w:i/>
          <w:iCs/>
        </w:rPr>
        <w:instrText>u</w:instrText>
      </w:r>
      <w:r>
        <w:instrText>\s\do6(</w:instrText>
      </w:r>
      <w:r>
        <w:rPr>
          <w:sz w:val="20"/>
          <w:szCs w:val="20"/>
        </w:rPr>
        <w:instrText>Θ</w:instrText>
      </w:r>
      <w:r>
        <w:instrText>)= \F(</w:instrText>
      </w:r>
      <w:r>
        <w:instrText>Γ</w:instrText>
      </w:r>
      <w:r>
        <w:instrText>\s\do6(</w:instrText>
      </w:r>
      <w:r>
        <w:rPr>
          <w:sz w:val="20"/>
          <w:szCs w:val="20"/>
        </w:rPr>
        <w:instrText>∞</w:instrText>
      </w:r>
      <w:r>
        <w:instrText>),2</w:instrText>
      </w:r>
      <w:r>
        <w:instrText>π</w:instrText>
      </w:r>
      <w:r>
        <w:instrText>) \b ( \F(</w:instrText>
      </w:r>
      <w:r>
        <w:rPr>
          <w:i/>
          <w:iCs/>
        </w:rPr>
        <w:instrText>r</w:instrText>
      </w:r>
      <w:r>
        <w:instrText>,</w:instrText>
      </w:r>
      <w:r>
        <w:rPr>
          <w:i/>
          <w:iCs/>
        </w:rPr>
        <w:instrText>R</w:instrText>
      </w:r>
      <w:r>
        <w:instrText>\s\up6(</w:instrText>
      </w:r>
      <w:r>
        <w:rPr>
          <w:sz w:val="20"/>
          <w:szCs w:val="20"/>
        </w:rPr>
        <w:instrText>2</w:instrText>
      </w:r>
      <w:r>
        <w:instrText>)+</w:instrText>
      </w:r>
      <w:r>
        <w:rPr>
          <w:i/>
          <w:iCs/>
        </w:rPr>
        <w:instrText>r</w:instrText>
      </w:r>
      <w:r>
        <w:instrText>\s\up6(</w:instrText>
      </w:r>
      <w:r>
        <w:rPr>
          <w:sz w:val="20"/>
          <w:szCs w:val="20"/>
        </w:rPr>
        <w:instrText>2</w:instrText>
      </w:r>
      <w:r>
        <w:instrText>)))</w:instrText>
      </w:r>
      <w:r>
        <w:fldChar w:fldCharType="end"/>
      </w:r>
      <w:r>
        <w:tab/>
        <w:t>(</w:t>
      </w:r>
      <w:bookmarkStart w:id="1" w:name="BMeq_bh"/>
      <w:r>
        <w:t>1</w:t>
      </w:r>
      <w:bookmarkEnd w:id="1"/>
      <w:r>
        <w:t>)</w:t>
      </w:r>
    </w:p>
    <w:p w:rsidR="00000000" w:rsidRDefault="00B4505B">
      <w:r>
        <w:t xml:space="preserve">where </w:t>
      </w:r>
      <w:r>
        <w:rPr>
          <w:i/>
          <w:iCs/>
        </w:rPr>
        <w:t>r</w:t>
      </w:r>
      <w:r>
        <w:t xml:space="preserve"> is the radial coordinate, </w:t>
      </w:r>
      <w:r>
        <w:rPr>
          <w:i/>
          <w:iCs/>
        </w:rPr>
        <w:t>R</w:t>
      </w:r>
      <w:r>
        <w:t xml:space="preserve"> is the vortex core radius and </w:t>
      </w:r>
      <w:r>
        <w:fldChar w:fldCharType="begin"/>
      </w:r>
      <w:r>
        <w:instrText xml:space="preserve"> EQ </w:instrText>
      </w:r>
      <w:r>
        <w:instrText>Γ</w:instrText>
      </w:r>
      <w:r>
        <w:instrText>\s\do6(</w:instrText>
      </w:r>
      <w:r>
        <w:rPr>
          <w:sz w:val="20"/>
          <w:szCs w:val="20"/>
        </w:rPr>
        <w:instrText>∞</w:instrText>
      </w:r>
      <w:r>
        <w:instrText>)</w:instrText>
      </w:r>
      <w:r>
        <w:fldChar w:fldCharType="end"/>
      </w:r>
      <w:r>
        <w:t xml:space="preserve"> is the circulation that would be achieved if the profile remained valid all the way out to </w:t>
      </w:r>
      <w:r>
        <w:fldChar w:fldCharType="begin"/>
      </w:r>
      <w:r>
        <w:instrText xml:space="preserve"> EQ </w:instrText>
      </w:r>
      <w:r>
        <w:rPr>
          <w:i/>
          <w:iCs/>
        </w:rPr>
        <w:instrText>r</w:instrText>
      </w:r>
      <w:r>
        <w:instrText>→∞</w:instrText>
      </w:r>
      <w:r>
        <w:fldChar w:fldCharType="end"/>
      </w:r>
      <w:r>
        <w:t>. In reality the</w:t>
      </w:r>
      <w:r>
        <w:t xml:space="preserve"> BH profile is only valid for small to moderate values of the non-dimensional distance </w:t>
      </w:r>
      <w:r>
        <w:rPr>
          <w:i/>
          <w:iCs/>
        </w:rPr>
        <w:t>r</w:t>
      </w:r>
      <w:r>
        <w:t>/</w:t>
      </w:r>
      <w:r>
        <w:rPr>
          <w:i/>
          <w:iCs/>
        </w:rPr>
        <w:t>R</w:t>
      </w:r>
      <w:r>
        <w:t>, since the flowfields due to the two vortices will interfere near the plane of symmetry between them. The range of validity of Eq. (</w:t>
      </w:r>
      <w:fldSimple w:instr="REF BMeq_bh \* MERGEFORMAT ">
        <w:r>
          <w:t>1</w:t>
        </w:r>
      </w:fldSimple>
      <w:r>
        <w:t xml:space="preserve">) </w:t>
      </w:r>
      <w:r>
        <w:t>can be estimated by noting that, for an elliptically-loaded wing, the distance between the two trailing vortices (</w:t>
      </w:r>
      <w:r>
        <w:fldChar w:fldCharType="begin"/>
      </w:r>
      <w:r>
        <w:instrText xml:space="preserve"> EQ </w:instrText>
      </w:r>
      <w:r>
        <w:rPr>
          <w:i/>
          <w:iCs/>
        </w:rPr>
        <w:instrText>b</w:instrText>
      </w:r>
      <w:r>
        <w:instrText>\s\do6(</w:instrText>
      </w:r>
      <w:r>
        <w:rPr>
          <w:sz w:val="20"/>
          <w:szCs w:val="20"/>
        </w:rPr>
        <w:instrText>0</w:instrText>
      </w:r>
      <w:r>
        <w:instrText>)</w:instrText>
      </w:r>
      <w:r>
        <w:fldChar w:fldCharType="end"/>
      </w:r>
      <w:r>
        <w:t xml:space="preserve">) is </w:t>
      </w:r>
      <w:r>
        <w:fldChar w:fldCharType="begin"/>
      </w:r>
      <w:r>
        <w:instrText xml:space="preserve"> EQ </w:instrText>
      </w:r>
      <w:r>
        <w:rPr>
          <w:i/>
          <w:iCs/>
        </w:rPr>
        <w:instrText>b</w:instrText>
      </w:r>
      <w:r>
        <w:instrText>\s\do6(</w:instrText>
      </w:r>
      <w:r>
        <w:rPr>
          <w:sz w:val="20"/>
          <w:szCs w:val="20"/>
        </w:rPr>
        <w:instrText>0</w:instrText>
      </w:r>
      <w:r>
        <w:instrText>)=3/4</w:instrText>
      </w:r>
      <w:r>
        <w:rPr>
          <w:i/>
          <w:iCs/>
        </w:rPr>
        <w:instrText>B</w:instrText>
      </w:r>
      <w:r>
        <w:fldChar w:fldCharType="end"/>
      </w:r>
      <w:r>
        <w:t xml:space="preserve">, </w:t>
      </w:r>
      <w:r>
        <w:lastRenderedPageBreak/>
        <w:t xml:space="preserve">where </w:t>
      </w:r>
      <w:r>
        <w:rPr>
          <w:i/>
          <w:iCs/>
        </w:rPr>
        <w:t>B</w:t>
      </w:r>
      <w:r>
        <w:t xml:space="preserve"> is the aircraft wingspan. Although there is quite </w:t>
      </w:r>
      <w:r>
        <w:t>some scatter in the measurements, aircraft wake core sizes have been estimated to be between 0.01</w:t>
      </w:r>
      <w:r>
        <w:rPr>
          <w:i/>
          <w:iCs/>
        </w:rPr>
        <w:t>B</w:t>
      </w:r>
      <w:r>
        <w:t>-0.06</w:t>
      </w:r>
      <w:r>
        <w:rPr>
          <w:i/>
          <w:iCs/>
        </w:rPr>
        <w:t>B</w:t>
      </w:r>
      <w:r>
        <w:t>[</w:t>
      </w:r>
      <w:fldSimple w:instr="REF BIB_bh82 \* MERGEFORMAT ">
        <w:r>
          <w:t>2</w:t>
        </w:r>
      </w:fldSimple>
      <w:r>
        <w:t xml:space="preserve">, </w:t>
      </w:r>
      <w:fldSimple w:instr="REF BIB_delisi03 \* MERGEFORMAT ">
        <w:r>
          <w:t>4</w:t>
        </w:r>
      </w:fldSimple>
      <w:r>
        <w:t xml:space="preserve">, </w:t>
      </w:r>
      <w:fldSimple w:instr="REF BIB_bh13 \* MERGEFORMAT ">
        <w:r>
          <w:t>3</w:t>
        </w:r>
      </w:fldSimple>
      <w:r>
        <w:t xml:space="preserve">]. By taking </w:t>
      </w:r>
      <w:r>
        <w:fldChar w:fldCharType="begin"/>
      </w:r>
      <w:r>
        <w:instrText xml:space="preserve"> EQ </w:instrText>
      </w:r>
      <w:r>
        <w:rPr>
          <w:i/>
          <w:iCs/>
        </w:rPr>
        <w:instrText>r</w:instrText>
      </w:r>
      <w:r>
        <w:instrText>\s\do6(</w:instrText>
      </w:r>
      <w:r>
        <w:rPr>
          <w:i/>
          <w:iCs/>
          <w:sz w:val="20"/>
          <w:szCs w:val="20"/>
        </w:rPr>
        <w:instrText>max</w:instrText>
      </w:r>
      <w:r>
        <w:instrText>)=</w:instrText>
      </w:r>
      <w:r>
        <w:rPr>
          <w:i/>
          <w:iCs/>
        </w:rPr>
        <w:instrText>b</w:instrText>
      </w:r>
      <w:r>
        <w:instrText>\s\do6(</w:instrText>
      </w:r>
      <w:r>
        <w:rPr>
          <w:sz w:val="20"/>
          <w:szCs w:val="20"/>
        </w:rPr>
        <w:instrText>0</w:instrText>
      </w:r>
      <w:r>
        <w:instrText>)/2=3/8</w:instrText>
      </w:r>
      <w:r>
        <w:rPr>
          <w:i/>
          <w:iCs/>
        </w:rPr>
        <w:instrText>B</w:instrText>
      </w:r>
      <w:r>
        <w:fldChar w:fldCharType="end"/>
      </w:r>
      <w:r>
        <w:t xml:space="preserve"> and </w:t>
      </w:r>
      <w:r>
        <w:rPr>
          <w:i/>
          <w:iCs/>
        </w:rPr>
        <w:t>R</w:t>
      </w:r>
      <w:r>
        <w:rPr>
          <w:rFonts w:ascii="Cambria Math" w:hAnsi="Cambria Math" w:cs="Cambria Math"/>
        </w:rPr>
        <w:t>≃</w:t>
      </w:r>
      <w:r>
        <w:t>0.03</w:t>
      </w:r>
      <w:r>
        <w:rPr>
          <w:i/>
          <w:iCs/>
        </w:rPr>
        <w:t>B</w:t>
      </w:r>
      <w:r>
        <w:t xml:space="preserve">, we find </w:t>
      </w:r>
      <w:r>
        <w:fldChar w:fldCharType="begin"/>
      </w:r>
      <w:r>
        <w:instrText xml:space="preserve"> EQ </w:instrText>
      </w:r>
      <w:r>
        <w:rPr>
          <w:i/>
          <w:iCs/>
        </w:rPr>
        <w:instrText>r</w:instrText>
      </w:r>
      <w:r>
        <w:instrText>\s\do6(</w:instrText>
      </w:r>
      <w:r>
        <w:rPr>
          <w:i/>
          <w:iCs/>
          <w:sz w:val="20"/>
          <w:szCs w:val="20"/>
        </w:rPr>
        <w:instrText>max</w:instrText>
      </w:r>
      <w:r>
        <w:instrText>)/</w:instrText>
      </w:r>
      <w:r>
        <w:rPr>
          <w:i/>
          <w:iCs/>
        </w:rPr>
        <w:instrText>R</w:instrText>
      </w:r>
      <w:r>
        <w:rPr>
          <w:rFonts w:ascii="Cambria Math" w:hAnsi="Cambria Math" w:cs="Cambria Math"/>
        </w:rPr>
        <w:instrText>≃</w:instrText>
      </w:r>
      <w:r>
        <w:instrText>12.5</w:instrText>
      </w:r>
      <w:r>
        <w:fldChar w:fldCharType="end"/>
      </w:r>
      <w:r>
        <w:t xml:space="preserve">. This is admittedly a very crude estimate, given the uncertainty in the vortex core size. It is probably better to assume the profile is strictly valid out to </w:t>
      </w:r>
      <w:r>
        <w:rPr>
          <w:i/>
          <w:iCs/>
        </w:rPr>
        <w:t>r</w:t>
      </w:r>
      <w:r>
        <w:t>/</w:t>
      </w:r>
      <w:r>
        <w:rPr>
          <w:i/>
          <w:iCs/>
        </w:rPr>
        <w:t>R</w:t>
      </w:r>
      <w:r>
        <w:t xml:space="preserve">=6, probably valid out to </w:t>
      </w:r>
      <w:r>
        <w:rPr>
          <w:i/>
          <w:iCs/>
        </w:rPr>
        <w:t>r</w:t>
      </w:r>
      <w:r>
        <w:t>/</w:t>
      </w:r>
      <w:r>
        <w:rPr>
          <w:i/>
          <w:iCs/>
        </w:rPr>
        <w:t>R</w:t>
      </w:r>
      <w:r>
        <w:t>=10, and then q</w:t>
      </w:r>
      <w:r>
        <w:t xml:space="preserve">uestionable for larger </w:t>
      </w:r>
      <w:r>
        <w:rPr>
          <w:i/>
          <w:iCs/>
        </w:rPr>
        <w:t>r</w:t>
      </w:r>
      <w:r>
        <w:t>/</w:t>
      </w:r>
      <w:r>
        <w:rPr>
          <w:i/>
          <w:iCs/>
        </w:rPr>
        <w:t>R</w:t>
      </w:r>
      <w:r>
        <w:t>.</w:t>
      </w:r>
    </w:p>
    <w:p w:rsidR="00000000" w:rsidRDefault="00B4505B">
      <w:pPr>
        <w:ind w:firstLine="360"/>
      </w:pPr>
      <w:r>
        <w:t>An important second finding from the aircraft wake field measurements is that the vortex core size changes only slightly over the course of the wake decay. This is in stark contrast to Lamb’s analytic solution for laminar vortex</w:t>
      </w:r>
      <w:r>
        <w:t xml:space="preserve"> decay, which predicts a significant increase in the core radius as the vortex decays. The contemporary understanding of this disparity is that aircraft wake vortices are turbulent with effective transport coefficients that depend strongly on </w:t>
      </w:r>
      <w:r>
        <w:rPr>
          <w:i/>
          <w:iCs/>
        </w:rPr>
        <w:t>r</w:t>
      </w:r>
      <w:r>
        <w:t>. The solid-</w:t>
      </w:r>
      <w:r>
        <w:t>body rotation near the vortex core inhibits turbulent transport within this region. Turbulence becomes much more effective outside of the core and thus we can think of the turbulent vortex as being eaten away from the outside, leaving the core largely inta</w:t>
      </w:r>
      <w:r>
        <w:t>ct.</w:t>
      </w:r>
    </w:p>
    <w:p w:rsidR="00000000" w:rsidRDefault="00B4505B">
      <w:pPr>
        <w:pStyle w:val="Heading3"/>
        <w:widowControl/>
        <w:spacing w:before="120"/>
      </w:pPr>
      <w:r>
        <w:t>2.2  Plan of Attack</w:t>
      </w:r>
    </w:p>
    <w:p w:rsidR="00000000" w:rsidRDefault="00B4505B">
      <w:pPr>
        <w:spacing w:before="60"/>
      </w:pPr>
      <w:r>
        <w:t xml:space="preserve">While the behavior of of aircraft wake vortices within the limited axisymmetric region near each core are fairly well understood, we are faced with the significantly more difficult task of modeling the behavior of the entire vortex </w:t>
      </w:r>
      <w:r>
        <w:t>system, including the strongly non-axisymmetric interaction between the two vortices. Given the complexity this problem, we proceed in a step by step manner, building from the insights provided by the vortex field measurements. Our approach involves the fo</w:t>
      </w:r>
      <w:r>
        <w:t>ur following key steps: (1) develop an analytic solution for the effective eddy viscosity distribution necessary to match the vortex decay field measurements, (2) extend this solution in a logical way outside of the axisymmetric regions and use the resulti</w:t>
      </w:r>
      <w:r>
        <w:t>ng eddy viscosity distribution in a high-resolution numerical simulation of a vortex pair decay, (3) abstract key features of the numerical simulation results into a simple model of the aircraft vortex wake system, (4) tune the resulting model against airc</w:t>
      </w:r>
      <w:r>
        <w:t>raft landing data so that it accounts properly for the effects of winds, ambient turbulence, and ambient stratification.</w:t>
      </w:r>
    </w:p>
    <w:p w:rsidR="00000000" w:rsidRDefault="00B4505B">
      <w:pPr>
        <w:pStyle w:val="Heading2"/>
        <w:widowControl/>
      </w:pPr>
      <w:r>
        <w:t>3  Axisymmetric Turbulent Vortex Diffusion</w:t>
      </w:r>
    </w:p>
    <w:p w:rsidR="00000000" w:rsidRDefault="00B4505B">
      <w:pPr>
        <w:spacing w:before="60"/>
      </w:pPr>
      <w:r>
        <w:t>The objective of this section is to develop an analytic solution for the eddy viscosity dist</w:t>
      </w:r>
      <w:r>
        <w:t>ribution necessary to reproduce the aircraft vortex decay measurements. We begin with a review of the key kinematic relations and the conservation laws.</w:t>
      </w:r>
    </w:p>
    <w:p w:rsidR="00000000" w:rsidRDefault="00B4505B">
      <w:pPr>
        <w:ind w:firstLine="360"/>
      </w:pPr>
      <w:r>
        <w:t xml:space="preserve">Consider a time-dependent, axisymmetric, incompressible swirling flow where </w:t>
      </w:r>
      <w:r>
        <w:fldChar w:fldCharType="begin"/>
      </w:r>
      <w:r>
        <w:instrText xml:space="preserve"> EQ </w:instrText>
      </w:r>
      <w:r>
        <w:rPr>
          <w:i/>
          <w:iCs/>
        </w:rPr>
        <w:instrText>u</w:instrText>
      </w:r>
      <w:r>
        <w:instrText>\s\do6(</w:instrText>
      </w:r>
      <w:r>
        <w:rPr>
          <w:i/>
          <w:iCs/>
          <w:sz w:val="20"/>
          <w:szCs w:val="20"/>
        </w:rPr>
        <w:instrText>r</w:instrText>
      </w:r>
      <w:r>
        <w:instrText>)=0</w:instrText>
      </w:r>
      <w:r>
        <w:fldChar w:fldCharType="end"/>
      </w:r>
      <w:r>
        <w:t xml:space="preserve">, </w:t>
      </w:r>
      <w:r>
        <w:fldChar w:fldCharType="begin"/>
      </w:r>
      <w:r>
        <w:instrText xml:space="preserve"> EQ </w:instrText>
      </w:r>
      <w:r>
        <w:rPr>
          <w:i/>
          <w:iCs/>
        </w:rPr>
        <w:instrText>u</w:instrText>
      </w:r>
      <w:r>
        <w:instrText>\s</w:instrText>
      </w:r>
      <w:r>
        <w:instrText>\do6(</w:instrText>
      </w:r>
      <w:r>
        <w:rPr>
          <w:sz w:val="20"/>
          <w:szCs w:val="20"/>
        </w:rPr>
        <w:instrText>Θ</w:instrText>
      </w:r>
      <w:r>
        <w:instrText>)=</w:instrText>
      </w:r>
      <w:r>
        <w:rPr>
          <w:i/>
          <w:iCs/>
        </w:rPr>
        <w:instrText>u</w:instrText>
      </w:r>
      <w:r>
        <w:instrText>\s\do6(</w:instrText>
      </w:r>
      <w:r>
        <w:rPr>
          <w:sz w:val="20"/>
          <w:szCs w:val="20"/>
        </w:rPr>
        <w:instrText>Θ</w:instrText>
      </w:r>
      <w:r>
        <w:instrText>)(</w:instrText>
      </w:r>
      <w:r>
        <w:rPr>
          <w:i/>
          <w:iCs/>
        </w:rPr>
        <w:instrText>r</w:instrText>
      </w:r>
      <w:r>
        <w:instrText>\,</w:instrText>
      </w:r>
      <w:r>
        <w:rPr>
          <w:i/>
          <w:iCs/>
        </w:rPr>
        <w:instrText>t</w:instrText>
      </w:r>
      <w:r>
        <w:instrText>)</w:instrText>
      </w:r>
      <w:r>
        <w:fldChar w:fldCharType="end"/>
      </w:r>
      <w:r>
        <w:t xml:space="preserve">, and </w:t>
      </w:r>
      <w:r>
        <w:fldChar w:fldCharType="begin"/>
      </w:r>
      <w:r>
        <w:instrText xml:space="preserve"> EQ </w:instrText>
      </w:r>
      <w:r>
        <w:rPr>
          <w:i/>
          <w:iCs/>
        </w:rPr>
        <w:instrText>u</w:instrText>
      </w:r>
      <w:r>
        <w:instrText>\s\do6(</w:instrText>
      </w:r>
      <w:r>
        <w:rPr>
          <w:i/>
          <w:iCs/>
          <w:sz w:val="20"/>
          <w:szCs w:val="20"/>
        </w:rPr>
        <w:instrText>z</w:instrText>
      </w:r>
      <w:r>
        <w:instrText>)=0</w:instrText>
      </w:r>
      <w:r>
        <w:fldChar w:fldCharType="end"/>
      </w:r>
      <w:r>
        <w:t xml:space="preserve">. For this simple flow the vorticity reduces to a single component given by </w:t>
      </w:r>
    </w:p>
    <w:p w:rsidR="00000000" w:rsidRDefault="00B4505B">
      <w:pPr>
        <w:pStyle w:val="equationNum"/>
        <w:tabs>
          <w:tab w:val="center" w:pos="4336"/>
          <w:tab w:val="right" w:pos="8672"/>
        </w:tabs>
      </w:pPr>
      <w:r>
        <w:tab/>
      </w:r>
      <w:r>
        <w:fldChar w:fldCharType="begin"/>
      </w:r>
      <w:r>
        <w:instrText xml:space="preserve"> EQ </w:instrText>
      </w:r>
      <w:r>
        <w:rPr>
          <w:rFonts w:ascii="Cambria Math" w:hAnsi="Cambria Math" w:cs="Cambria Math"/>
        </w:rPr>
        <w:instrText>⃗</w:instrText>
      </w:r>
      <w:r>
        <w:instrText>ω</w:instrText>
      </w:r>
      <w:r>
        <w:instrText>=</w:instrText>
      </w:r>
      <w:r>
        <w:rPr>
          <w:rFonts w:ascii="Cambria Math" w:hAnsi="Cambria Math" w:cs="Cambria Math"/>
        </w:rPr>
        <w:instrText>∇</w:instrText>
      </w:r>
      <w:r>
        <w:instrText>×</w:instrText>
      </w:r>
      <w:r>
        <w:rPr>
          <w:rFonts w:ascii="Cambria Math" w:hAnsi="Cambria Math" w:cs="Cambria Math"/>
        </w:rPr>
        <w:instrText>⃗</w:instrText>
      </w:r>
      <w:r>
        <w:rPr>
          <w:i/>
          <w:iCs/>
        </w:rPr>
        <w:instrText>u</w:instrText>
      </w:r>
      <w:r>
        <w:instrText>= \F(1,</w:instrText>
      </w:r>
      <w:r>
        <w:rPr>
          <w:i/>
          <w:iCs/>
        </w:rPr>
        <w:instrText>r</w:instrText>
      </w:r>
      <w:r>
        <w:instrText>) \F(</w:instrText>
      </w:r>
      <w:r>
        <w:instrText>∂</w:instrText>
      </w:r>
      <w:r>
        <w:rPr>
          <w:i/>
          <w:iCs/>
        </w:rPr>
        <w:instrText>ru</w:instrText>
      </w:r>
      <w:r>
        <w:instrText>\s\do6(</w:instrText>
      </w:r>
      <w:r>
        <w:rPr>
          <w:sz w:val="20"/>
          <w:szCs w:val="20"/>
        </w:rPr>
        <w:instrText>Θ</w:instrText>
      </w:r>
      <w:r>
        <w:instrText>),</w:instrText>
      </w:r>
      <w:r>
        <w:instrText>∂</w:instrText>
      </w:r>
      <w:r>
        <w:rPr>
          <w:i/>
          <w:iCs/>
        </w:rPr>
        <w:instrText>r</w:instrText>
      </w:r>
      <w:r>
        <w:instrText>)ê\s\do6(</w:instrText>
      </w:r>
      <w:r>
        <w:rPr>
          <w:i/>
          <w:iCs/>
          <w:sz w:val="20"/>
          <w:szCs w:val="20"/>
        </w:rPr>
        <w:instrText>z</w:instrText>
      </w:r>
      <w:r>
        <w:instrText>)=</w:instrText>
      </w:r>
      <w:r>
        <w:instrText>ω</w:instrText>
      </w:r>
      <w:r>
        <w:instrText>ê\s\do6(</w:instrText>
      </w:r>
      <w:r>
        <w:rPr>
          <w:i/>
          <w:iCs/>
          <w:sz w:val="20"/>
          <w:szCs w:val="20"/>
        </w:rPr>
        <w:instrText>z</w:instrText>
      </w:r>
      <w:r>
        <w:instrText>)</w:instrText>
      </w:r>
      <w:r>
        <w:fldChar w:fldCharType="end"/>
      </w:r>
      <w:r>
        <w:tab/>
        <w:t>(</w:t>
      </w:r>
      <w:bookmarkStart w:id="2" w:name="BMeq_vort_def"/>
      <w:r>
        <w:t>2</w:t>
      </w:r>
      <w:bookmarkEnd w:id="2"/>
      <w:r>
        <w:t>)</w:t>
      </w:r>
    </w:p>
    <w:p w:rsidR="00000000" w:rsidRDefault="00B4505B">
      <w:r>
        <w:t xml:space="preserve">The Circulation around a circular contour of radius </w:t>
      </w:r>
      <w:r>
        <w:rPr>
          <w:i/>
          <w:iCs/>
        </w:rPr>
        <w:t>r</w:t>
      </w:r>
      <w:r>
        <w:t xml:space="preserve"> is </w:t>
      </w:r>
    </w:p>
    <w:p w:rsidR="00000000" w:rsidRDefault="00B4505B">
      <w:pPr>
        <w:pStyle w:val="equationNum"/>
        <w:tabs>
          <w:tab w:val="center" w:pos="4336"/>
          <w:tab w:val="right" w:pos="8672"/>
        </w:tabs>
      </w:pPr>
      <w:r>
        <w:tab/>
      </w:r>
      <w:r>
        <w:fldChar w:fldCharType="begin"/>
      </w:r>
      <w:r>
        <w:instrText xml:space="preserve"> EQ </w:instrText>
      </w:r>
      <w:r>
        <w:instrText>Γ</w:instrText>
      </w:r>
      <w:r>
        <w:instrText>(</w:instrText>
      </w:r>
      <w:r>
        <w:rPr>
          <w:i/>
          <w:iCs/>
        </w:rPr>
        <w:instrText>r</w:instrText>
      </w:r>
      <w:r>
        <w:instrText>\,</w:instrText>
      </w:r>
      <w:r>
        <w:rPr>
          <w:i/>
          <w:iCs/>
        </w:rPr>
        <w:instrText>t</w:instrText>
      </w:r>
      <w:r>
        <w:instrText>)= \i (</w:instrText>
      </w:r>
      <w:r>
        <w:rPr>
          <w:i/>
          <w:iCs/>
        </w:rPr>
        <w:instrText>A</w:instrText>
      </w:r>
      <w:r>
        <w:instrText>,, )</w:instrText>
      </w:r>
      <w:r>
        <w:instrText>ω</w:instrText>
      </w:r>
      <w:r>
        <w:rPr>
          <w:i/>
          <w:iCs/>
        </w:rPr>
        <w:instrText>dA</w:instrText>
      </w:r>
      <w:r>
        <w:instrText>=2</w:instrText>
      </w:r>
      <w:r>
        <w:instrText>π</w:instrText>
      </w:r>
      <w:r>
        <w:instrText xml:space="preserve"> \i (0,</w:instrText>
      </w:r>
      <w:r>
        <w:rPr>
          <w:i/>
          <w:iCs/>
        </w:rPr>
        <w:instrText>r</w:instrText>
      </w:r>
      <w:r>
        <w:instrText>, )</w:instrText>
      </w:r>
      <w:r>
        <w:instrText>ω</w:instrText>
      </w:r>
      <w:r>
        <w:instrText>(</w:instrText>
      </w:r>
      <w:r>
        <w:rPr>
          <w:i/>
          <w:iCs/>
        </w:rPr>
        <w:instrText>r</w:instrText>
      </w:r>
      <w:r>
        <w:instrText>\,</w:instrText>
      </w:r>
      <w:r>
        <w:rPr>
          <w:i/>
          <w:iCs/>
        </w:rPr>
        <w:instrText>t</w:instrText>
      </w:r>
      <w:r>
        <w:instrText>)</w:instrText>
      </w:r>
      <w:r>
        <w:rPr>
          <w:i/>
          <w:iCs/>
        </w:rPr>
        <w:instrText>rdr</w:instrText>
      </w:r>
      <w:r>
        <w:instrText>=2</w:instrText>
      </w:r>
      <w:r>
        <w:instrText>π</w:instrText>
      </w:r>
      <w:r>
        <w:instrText xml:space="preserve"> \i (0,</w:instrText>
      </w:r>
      <w:r>
        <w:rPr>
          <w:i/>
          <w:iCs/>
        </w:rPr>
        <w:instrText>r</w:instrText>
      </w:r>
      <w:r>
        <w:instrText>, ) \F(1,</w:instrText>
      </w:r>
      <w:r>
        <w:rPr>
          <w:i/>
          <w:iCs/>
        </w:rPr>
        <w:instrText>r</w:instrText>
      </w:r>
      <w:r>
        <w:instrText>) \F(</w:instrText>
      </w:r>
      <w:r>
        <w:instrText>∂</w:instrText>
      </w:r>
      <w:r>
        <w:rPr>
          <w:i/>
          <w:iCs/>
        </w:rPr>
        <w:instrText>ru</w:instrText>
      </w:r>
      <w:r>
        <w:instrText>\s\do6(</w:instrText>
      </w:r>
      <w:r>
        <w:rPr>
          <w:sz w:val="20"/>
          <w:szCs w:val="20"/>
        </w:rPr>
        <w:instrText>Θ</w:instrText>
      </w:r>
      <w:r>
        <w:instrText>),</w:instrText>
      </w:r>
      <w:r>
        <w:instrText>∂</w:instrText>
      </w:r>
      <w:r>
        <w:rPr>
          <w:i/>
          <w:iCs/>
        </w:rPr>
        <w:instrText>r</w:instrText>
      </w:r>
      <w:r>
        <w:instrText>)</w:instrText>
      </w:r>
      <w:r>
        <w:rPr>
          <w:i/>
          <w:iCs/>
        </w:rPr>
        <w:instrText>rdr</w:instrText>
      </w:r>
      <w:r>
        <w:instrText>=2</w:instrText>
      </w:r>
      <w:r>
        <w:instrText>π</w:instrText>
      </w:r>
      <w:r>
        <w:rPr>
          <w:i/>
          <w:iCs/>
        </w:rPr>
        <w:instrText>ru</w:instrText>
      </w:r>
      <w:r>
        <w:instrText>\s\do6(</w:instrText>
      </w:r>
      <w:r>
        <w:rPr>
          <w:sz w:val="20"/>
          <w:szCs w:val="20"/>
        </w:rPr>
        <w:instrText>Θ</w:instrText>
      </w:r>
      <w:r>
        <w:instrText>)</w:instrText>
      </w:r>
      <w:r>
        <w:fldChar w:fldCharType="end"/>
      </w:r>
      <w:r>
        <w:tab/>
        <w:t>(</w:t>
      </w:r>
      <w:bookmarkStart w:id="3" w:name="BMeq_circ_def"/>
      <w:r>
        <w:t>3</w:t>
      </w:r>
      <w:bookmarkEnd w:id="3"/>
      <w:r>
        <w:t>)</w:t>
      </w:r>
    </w:p>
    <w:p w:rsidR="00000000" w:rsidRDefault="00B4505B">
      <w:pPr>
        <w:ind w:firstLine="360"/>
      </w:pPr>
      <w:r>
        <w:lastRenderedPageBreak/>
        <w:t>The mass conservation and axial momentum equations are s</w:t>
      </w:r>
      <w:r>
        <w:t xml:space="preserve">atisfied identically. The radial and azimuthal momentum equations reduce to </w:t>
      </w:r>
    </w:p>
    <w:p w:rsidR="00000000" w:rsidRDefault="00B4505B">
      <w:pPr>
        <w:pStyle w:val="equationNum"/>
        <w:tabs>
          <w:tab w:val="center" w:pos="4336"/>
          <w:tab w:val="right" w:pos="8672"/>
        </w:tabs>
      </w:pPr>
      <w:r>
        <w:tab/>
      </w:r>
      <w:r>
        <w:fldChar w:fldCharType="begin"/>
      </w:r>
      <w:r>
        <w:instrText xml:space="preserve"> EQ </w:instrText>
      </w:r>
      <w:r>
        <w:instrText>ϱ</w:instrText>
      </w:r>
      <w:r>
        <w:instrText xml:space="preserve"> \F(</w:instrText>
      </w:r>
      <w:r>
        <w:rPr>
          <w:i/>
          <w:iCs/>
        </w:rPr>
        <w:instrText>u</w:instrText>
      </w:r>
      <w:r>
        <w:instrText>\s\up(</w:instrText>
      </w:r>
      <w:r>
        <w:rPr>
          <w:sz w:val="20"/>
          <w:szCs w:val="20"/>
        </w:rPr>
        <w:instrText>2,</w:instrText>
      </w:r>
      <w:r>
        <w:rPr>
          <w:sz w:val="20"/>
          <w:szCs w:val="20"/>
        </w:rPr>
        <w:instrText>Θ</w:instrText>
      </w:r>
      <w:r>
        <w:instrText>),</w:instrText>
      </w:r>
      <w:r>
        <w:rPr>
          <w:i/>
          <w:iCs/>
        </w:rPr>
        <w:instrText>r</w:instrText>
      </w:r>
      <w:r>
        <w:instrText>)= \F(</w:instrText>
      </w:r>
      <w:r>
        <w:instrText>∂</w:instrText>
      </w:r>
      <w:r>
        <w:rPr>
          <w:i/>
          <w:iCs/>
        </w:rPr>
        <w:instrText>p</w:instrText>
      </w:r>
      <w:r>
        <w:instrText>,</w:instrText>
      </w:r>
      <w:r>
        <w:instrText>∂</w:instrText>
      </w:r>
      <w:r>
        <w:rPr>
          <w:i/>
          <w:iCs/>
        </w:rPr>
        <w:instrText>r</w:instrText>
      </w:r>
      <w:r>
        <w:instrText>)</w:instrText>
      </w:r>
      <w:r>
        <w:fldChar w:fldCharType="end"/>
      </w:r>
      <w:r>
        <w:tab/>
        <w:t>(</w:t>
      </w:r>
      <w:bookmarkStart w:id="4" w:name="BMeq_rad_mom"/>
      <w:r>
        <w:t>4</w:t>
      </w:r>
      <w:bookmarkEnd w:id="4"/>
      <w:r>
        <w:t>)</w:t>
      </w:r>
    </w:p>
    <w:p w:rsidR="00000000" w:rsidRDefault="00B4505B">
      <w:pPr>
        <w:pStyle w:val="equationNum"/>
        <w:tabs>
          <w:tab w:val="center" w:pos="4336"/>
          <w:tab w:val="right" w:pos="8672"/>
        </w:tabs>
      </w:pPr>
      <w:r>
        <w:tab/>
      </w:r>
      <w:r>
        <w:fldChar w:fldCharType="begin"/>
      </w:r>
      <w:r>
        <w:instrText xml:space="preserve"> EQ  \F(</w:instrText>
      </w:r>
      <w:r>
        <w:instrText>∂</w:instrText>
      </w:r>
      <w:r>
        <w:rPr>
          <w:i/>
          <w:iCs/>
        </w:rPr>
        <w:instrText>u</w:instrText>
      </w:r>
      <w:r>
        <w:instrText>\s\do6(</w:instrText>
      </w:r>
      <w:r>
        <w:rPr>
          <w:sz w:val="20"/>
          <w:szCs w:val="20"/>
        </w:rPr>
        <w:instrText>Θ</w:instrText>
      </w:r>
      <w:r>
        <w:instrText>),</w:instrText>
      </w:r>
      <w:r>
        <w:instrText>∂</w:instrText>
      </w:r>
      <w:r>
        <w:rPr>
          <w:i/>
          <w:iCs/>
        </w:rPr>
        <w:instrText>t</w:instrText>
      </w:r>
      <w:r>
        <w:instrText>)= \F(</w:instrText>
      </w:r>
      <w:r>
        <w:instrText>∂σ</w:instrText>
      </w:r>
      <w:r>
        <w:instrText>\s\do6(</w:instrText>
      </w:r>
      <w:r>
        <w:rPr>
          <w:i/>
          <w:iCs/>
          <w:sz w:val="20"/>
          <w:szCs w:val="20"/>
        </w:rPr>
        <w:instrText>r</w:instrText>
      </w:r>
      <w:r>
        <w:rPr>
          <w:sz w:val="20"/>
          <w:szCs w:val="20"/>
        </w:rPr>
        <w:instrText>Θ</w:instrText>
      </w:r>
      <w:r>
        <w:instrText>),</w:instrText>
      </w:r>
      <w:r>
        <w:instrText>∂</w:instrText>
      </w:r>
      <w:r>
        <w:rPr>
          <w:i/>
          <w:iCs/>
        </w:rPr>
        <w:instrText>r</w:instrText>
      </w:r>
      <w:r>
        <w:instrText>)+2 \F(</w:instrText>
      </w:r>
      <w:r>
        <w:instrText>σ</w:instrText>
      </w:r>
      <w:r>
        <w:instrText>\s\do6(</w:instrText>
      </w:r>
      <w:r>
        <w:rPr>
          <w:i/>
          <w:iCs/>
          <w:sz w:val="20"/>
          <w:szCs w:val="20"/>
        </w:rPr>
        <w:instrText>r</w:instrText>
      </w:r>
      <w:r>
        <w:rPr>
          <w:sz w:val="20"/>
          <w:szCs w:val="20"/>
        </w:rPr>
        <w:instrText>Θ</w:instrText>
      </w:r>
      <w:r>
        <w:instrText>),</w:instrText>
      </w:r>
      <w:r>
        <w:rPr>
          <w:i/>
          <w:iCs/>
        </w:rPr>
        <w:instrText>r</w:instrText>
      </w:r>
      <w:r>
        <w:instrText>)</w:instrText>
      </w:r>
      <w:r>
        <w:fldChar w:fldCharType="end"/>
      </w:r>
      <w:r>
        <w:tab/>
        <w:t>(</w:t>
      </w:r>
      <w:bookmarkStart w:id="5" w:name="BMeq_azi_mom"/>
      <w:r>
        <w:t>5</w:t>
      </w:r>
      <w:bookmarkEnd w:id="5"/>
      <w:r>
        <w:t>)</w:t>
      </w:r>
    </w:p>
    <w:p w:rsidR="00000000" w:rsidRDefault="00B4505B">
      <w:r>
        <w:t xml:space="preserve">where </w:t>
      </w:r>
      <w:r>
        <w:fldChar w:fldCharType="begin"/>
      </w:r>
      <w:r>
        <w:instrText xml:space="preserve"> EQ </w:instrText>
      </w:r>
      <w:r>
        <w:instrText>σ</w:instrText>
      </w:r>
      <w:r>
        <w:instrText>\s\do6</w:instrText>
      </w:r>
      <w:r>
        <w:instrText>(</w:instrText>
      </w:r>
      <w:r>
        <w:rPr>
          <w:i/>
          <w:iCs/>
          <w:sz w:val="20"/>
          <w:szCs w:val="20"/>
        </w:rPr>
        <w:instrText>r</w:instrText>
      </w:r>
      <w:r>
        <w:rPr>
          <w:sz w:val="20"/>
          <w:szCs w:val="20"/>
        </w:rPr>
        <w:instrText>Θ</w:instrText>
      </w:r>
      <w:r>
        <w:instrText>)</w:instrText>
      </w:r>
      <w:r>
        <w:fldChar w:fldCharType="end"/>
      </w:r>
      <w:r>
        <w:t xml:space="preserve"> is the viscous stress, which is given by </w:t>
      </w:r>
    </w:p>
    <w:p w:rsidR="00000000" w:rsidRDefault="00B4505B">
      <w:pPr>
        <w:pStyle w:val="equationNum"/>
        <w:tabs>
          <w:tab w:val="center" w:pos="4336"/>
          <w:tab w:val="right" w:pos="8672"/>
        </w:tabs>
      </w:pPr>
      <w:r>
        <w:tab/>
      </w:r>
      <w:r>
        <w:fldChar w:fldCharType="begin"/>
      </w:r>
      <w:r>
        <w:instrText xml:space="preserve"> EQ </w:instrText>
      </w:r>
      <w:r>
        <w:instrText>σ</w:instrText>
      </w:r>
      <w:r>
        <w:instrText>\s\do6(</w:instrText>
      </w:r>
      <w:r>
        <w:rPr>
          <w:i/>
          <w:iCs/>
          <w:sz w:val="20"/>
          <w:szCs w:val="20"/>
        </w:rPr>
        <w:instrText>r</w:instrText>
      </w:r>
      <w:r>
        <w:rPr>
          <w:sz w:val="20"/>
          <w:szCs w:val="20"/>
        </w:rPr>
        <w:instrText>Θ</w:instrText>
      </w:r>
      <w:r>
        <w:instrText>)=</w:instrText>
      </w:r>
      <w:r>
        <w:instrText>ν</w:instrText>
      </w:r>
      <w:r>
        <w:instrText>\s\do6(</w:instrText>
      </w:r>
      <w:r>
        <w:rPr>
          <w:i/>
          <w:iCs/>
          <w:sz w:val="20"/>
          <w:szCs w:val="20"/>
        </w:rPr>
        <w:instrText>t</w:instrText>
      </w:r>
      <w:r>
        <w:instrText>) \b ( \F(</w:instrText>
      </w:r>
      <w:r>
        <w:instrText>∂</w:instrText>
      </w:r>
      <w:r>
        <w:rPr>
          <w:i/>
          <w:iCs/>
        </w:rPr>
        <w:instrText>u</w:instrText>
      </w:r>
      <w:r>
        <w:instrText>\s\do6(</w:instrText>
      </w:r>
      <w:r>
        <w:rPr>
          <w:sz w:val="20"/>
          <w:szCs w:val="20"/>
        </w:rPr>
        <w:instrText>Θ</w:instrText>
      </w:r>
      <w:r>
        <w:instrText>),</w:instrText>
      </w:r>
      <w:r>
        <w:instrText>∂</w:instrText>
      </w:r>
      <w:r>
        <w:rPr>
          <w:i/>
          <w:iCs/>
        </w:rPr>
        <w:instrText>r</w:instrText>
      </w:r>
      <w:r>
        <w:instrText>)</w:instrText>
      </w:r>
      <w:r>
        <w:instrText>−</w:instrText>
      </w:r>
      <w:r>
        <w:instrText xml:space="preserve"> \F(</w:instrText>
      </w:r>
      <w:r>
        <w:rPr>
          <w:i/>
          <w:iCs/>
        </w:rPr>
        <w:instrText>u</w:instrText>
      </w:r>
      <w:r>
        <w:instrText>\s\do6(</w:instrText>
      </w:r>
      <w:r>
        <w:rPr>
          <w:sz w:val="20"/>
          <w:szCs w:val="20"/>
        </w:rPr>
        <w:instrText>Θ</w:instrText>
      </w:r>
      <w:r>
        <w:instrText>),</w:instrText>
      </w:r>
      <w:r>
        <w:rPr>
          <w:i/>
          <w:iCs/>
        </w:rPr>
        <w:instrText>r</w:instrText>
      </w:r>
      <w:r>
        <w:instrText>))=</w:instrText>
      </w:r>
      <w:r>
        <w:instrText>ν</w:instrText>
      </w:r>
      <w:r>
        <w:instrText>\s\do6(</w:instrText>
      </w:r>
      <w:r>
        <w:rPr>
          <w:i/>
          <w:iCs/>
          <w:sz w:val="20"/>
          <w:szCs w:val="20"/>
        </w:rPr>
        <w:instrText>t</w:instrText>
      </w:r>
      <w:r>
        <w:instrText>)</w:instrText>
      </w:r>
      <w:r>
        <w:rPr>
          <w:i/>
          <w:iCs/>
        </w:rPr>
        <w:instrText>r</w:instrText>
      </w:r>
      <w:r>
        <w:instrText xml:space="preserve"> \F(</w:instrText>
      </w:r>
      <w:r>
        <w:instrText>∂</w:instrText>
      </w:r>
      <w:r>
        <w:instrText>,</w:instrText>
      </w:r>
      <w:r>
        <w:instrText>∂</w:instrText>
      </w:r>
      <w:r>
        <w:rPr>
          <w:i/>
          <w:iCs/>
        </w:rPr>
        <w:instrText>r</w:instrText>
      </w:r>
      <w:r>
        <w:instrText>) \b ( \F(</w:instrText>
      </w:r>
      <w:r>
        <w:rPr>
          <w:i/>
          <w:iCs/>
        </w:rPr>
        <w:instrText>u</w:instrText>
      </w:r>
      <w:r>
        <w:instrText>\s\do6(</w:instrText>
      </w:r>
      <w:r>
        <w:rPr>
          <w:sz w:val="20"/>
          <w:szCs w:val="20"/>
        </w:rPr>
        <w:instrText>Θ</w:instrText>
      </w:r>
      <w:r>
        <w:instrText>),</w:instrText>
      </w:r>
      <w:r>
        <w:rPr>
          <w:i/>
          <w:iCs/>
        </w:rPr>
        <w:instrText>r</w:instrText>
      </w:r>
      <w:r>
        <w:instrText>))=</w:instrText>
      </w:r>
      <w:r>
        <w:instrText>ν</w:instrText>
      </w:r>
      <w:r>
        <w:instrText>\s\do6(</w:instrText>
      </w:r>
      <w:r>
        <w:rPr>
          <w:i/>
          <w:iCs/>
          <w:sz w:val="20"/>
          <w:szCs w:val="20"/>
        </w:rPr>
        <w:instrText>t</w:instrText>
      </w:r>
      <w:r>
        <w:instrText>) \b ( \F(1,</w:instrText>
      </w:r>
      <w:r>
        <w:rPr>
          <w:i/>
          <w:iCs/>
        </w:rPr>
        <w:instrText>r</w:instrText>
      </w:r>
      <w:r>
        <w:instrText>) \F(</w:instrText>
      </w:r>
      <w:r>
        <w:instrText>∂</w:instrText>
      </w:r>
      <w:r>
        <w:rPr>
          <w:i/>
          <w:iCs/>
        </w:rPr>
        <w:instrText>ru</w:instrText>
      </w:r>
      <w:r>
        <w:instrText>\s\do6(</w:instrText>
      </w:r>
      <w:r>
        <w:rPr>
          <w:sz w:val="20"/>
          <w:szCs w:val="20"/>
        </w:rPr>
        <w:instrText>Θ</w:instrText>
      </w:r>
      <w:r>
        <w:instrText>),</w:instrText>
      </w:r>
      <w:r>
        <w:instrText>∂</w:instrText>
      </w:r>
      <w:r>
        <w:rPr>
          <w:i/>
          <w:iCs/>
        </w:rPr>
        <w:instrText>r</w:instrText>
      </w:r>
      <w:r>
        <w:instrText>)</w:instrText>
      </w:r>
      <w:r>
        <w:instrText>−</w:instrText>
      </w:r>
      <w:r>
        <w:instrText>2 \F(</w:instrText>
      </w:r>
      <w:r>
        <w:rPr>
          <w:i/>
          <w:iCs/>
        </w:rPr>
        <w:instrText>u</w:instrText>
      </w:r>
      <w:r>
        <w:instrText>\s\do6(</w:instrText>
      </w:r>
      <w:r>
        <w:rPr>
          <w:sz w:val="20"/>
          <w:szCs w:val="20"/>
        </w:rPr>
        <w:instrText>Θ</w:instrText>
      </w:r>
      <w:r>
        <w:instrText>),</w:instrText>
      </w:r>
      <w:r>
        <w:rPr>
          <w:i/>
          <w:iCs/>
        </w:rPr>
        <w:instrText>r</w:instrText>
      </w:r>
      <w:r>
        <w:instrText>))=</w:instrText>
      </w:r>
      <w:r>
        <w:instrText>ν</w:instrText>
      </w:r>
      <w:r>
        <w:instrText>\s\do6(</w:instrText>
      </w:r>
      <w:r>
        <w:rPr>
          <w:i/>
          <w:iCs/>
          <w:sz w:val="20"/>
          <w:szCs w:val="20"/>
        </w:rPr>
        <w:instrText>t</w:instrText>
      </w:r>
      <w:r>
        <w:instrText>) \b (</w:instrText>
      </w:r>
      <w:r>
        <w:instrText>ω−</w:instrText>
      </w:r>
      <w:r>
        <w:instrText>2 \F(</w:instrText>
      </w:r>
      <w:r>
        <w:rPr>
          <w:i/>
          <w:iCs/>
        </w:rPr>
        <w:instrText>u</w:instrText>
      </w:r>
      <w:r>
        <w:instrText>\s\</w:instrText>
      </w:r>
      <w:r>
        <w:instrText>do6(</w:instrText>
      </w:r>
      <w:r>
        <w:rPr>
          <w:sz w:val="20"/>
          <w:szCs w:val="20"/>
        </w:rPr>
        <w:instrText>Θ</w:instrText>
      </w:r>
      <w:r>
        <w:instrText>),</w:instrText>
      </w:r>
      <w:r>
        <w:rPr>
          <w:i/>
          <w:iCs/>
        </w:rPr>
        <w:instrText>r</w:instrText>
      </w:r>
      <w:r>
        <w:instrText>))</w:instrText>
      </w:r>
      <w:r>
        <w:fldChar w:fldCharType="end"/>
      </w:r>
      <w:r>
        <w:tab/>
        <w:t>(</w:t>
      </w:r>
      <w:bookmarkStart w:id="6" w:name="BMeq_stress"/>
      <w:r>
        <w:t>6</w:t>
      </w:r>
      <w:bookmarkEnd w:id="6"/>
      <w:r>
        <w:t>)</w:t>
      </w:r>
    </w:p>
    <w:p w:rsidR="00000000" w:rsidRDefault="00B4505B">
      <w:r>
        <w:t xml:space="preserve">Here we expect the flow to be turbulent and thus </w:t>
      </w:r>
      <w:r>
        <w:fldChar w:fldCharType="begin"/>
      </w:r>
      <w:r>
        <w:instrText xml:space="preserve"> EQ </w:instrText>
      </w:r>
      <w:r>
        <w:rPr>
          <w:i/>
          <w:iCs/>
        </w:rPr>
        <w:instrText>u</w:instrText>
      </w:r>
      <w:r>
        <w:instrText>\s\do6(</w:instrText>
      </w:r>
      <w:r>
        <w:rPr>
          <w:sz w:val="20"/>
          <w:szCs w:val="20"/>
        </w:rPr>
        <w:instrText>Θ</w:instrText>
      </w:r>
      <w:r>
        <w:instrText>)</w:instrText>
      </w:r>
      <w:r>
        <w:fldChar w:fldCharType="end"/>
      </w:r>
      <w:r>
        <w:t xml:space="preserve"> is the Reynolds averaged velocity and </w:t>
      </w:r>
      <w:r>
        <w:fldChar w:fldCharType="begin"/>
      </w:r>
      <w:r>
        <w:instrText xml:space="preserve"> EQ </w:instrText>
      </w:r>
      <w:r>
        <w:instrText>ν</w:instrText>
      </w:r>
      <w:r>
        <w:instrText>\s\do6(</w:instrText>
      </w:r>
      <w:r>
        <w:rPr>
          <w:i/>
          <w:iCs/>
          <w:sz w:val="20"/>
          <w:szCs w:val="20"/>
        </w:rPr>
        <w:instrText>t</w:instrText>
      </w:r>
      <w:r>
        <w:instrText>)</w:instrText>
      </w:r>
      <w:r>
        <w:fldChar w:fldCharType="end"/>
      </w:r>
      <w:r>
        <w:t xml:space="preserve"> is the sum of the molecular and eddy viscosity, with the latter being a function of the radial c</w:t>
      </w:r>
      <w:r>
        <w:t>oordinate.</w:t>
      </w:r>
    </w:p>
    <w:p w:rsidR="00000000" w:rsidRDefault="00B4505B">
      <w:pPr>
        <w:ind w:firstLine="360"/>
      </w:pPr>
      <w:r>
        <w:t>By making use of the above definition of the stress it is possible to write the azimuthal momentum equation (</w:t>
      </w:r>
      <w:fldSimple w:instr="REF BMeq_azi_mom \* MERGEFORMAT ">
        <w:r>
          <w:t>5</w:t>
        </w:r>
      </w:fldSimple>
      <w:r>
        <w:t xml:space="preserve">) in the following useful alternative form </w:t>
      </w:r>
    </w:p>
    <w:p w:rsidR="00000000" w:rsidRDefault="00B4505B">
      <w:pPr>
        <w:pStyle w:val="equationArrayNum"/>
        <w:tabs>
          <w:tab w:val="right" w:pos="3902"/>
          <w:tab w:val="center" w:pos="4336"/>
          <w:tab w:val="left" w:pos="4769"/>
          <w:tab w:val="right" w:pos="8672"/>
        </w:tabs>
      </w:pPr>
      <w:r>
        <w:tab/>
      </w:r>
      <w:r>
        <w:fldChar w:fldCharType="begin"/>
      </w:r>
      <w:r>
        <w:instrText xml:space="preserve"> EQ  \F(</w:instrText>
      </w:r>
      <w:r>
        <w:instrText>∂</w:instrText>
      </w:r>
      <w:r>
        <w:rPr>
          <w:i/>
          <w:iCs/>
        </w:rPr>
        <w:instrText>u</w:instrText>
      </w:r>
      <w:r>
        <w:instrText>\s\do6(</w:instrText>
      </w:r>
      <w:r>
        <w:rPr>
          <w:sz w:val="20"/>
          <w:szCs w:val="20"/>
        </w:rPr>
        <w:instrText>Θ</w:instrText>
      </w:r>
      <w:r>
        <w:instrText>),</w:instrText>
      </w:r>
      <w:r>
        <w:instrText>∂</w:instrText>
      </w:r>
      <w:r>
        <w:rPr>
          <w:i/>
          <w:iCs/>
        </w:rPr>
        <w:instrText>t</w:instrText>
      </w:r>
      <w:r>
        <w:instrText>)</w:instrText>
      </w:r>
      <w:r>
        <w:fldChar w:fldCharType="end"/>
      </w:r>
      <w:r>
        <w:tab/>
      </w:r>
      <w:r>
        <w:fldChar w:fldCharType="begin"/>
      </w:r>
      <w:r>
        <w:instrText xml:space="preserve"> EQ =</w:instrText>
      </w:r>
      <w:r>
        <w:fldChar w:fldCharType="end"/>
      </w:r>
      <w:r>
        <w:tab/>
      </w:r>
      <w:r>
        <w:fldChar w:fldCharType="begin"/>
      </w:r>
      <w:r>
        <w:instrText xml:space="preserve"> EQ </w:instrText>
      </w:r>
      <w:r>
        <w:instrText>ν</w:instrText>
      </w:r>
      <w:r>
        <w:instrText>\s\do6(</w:instrText>
      </w:r>
      <w:r>
        <w:rPr>
          <w:i/>
          <w:iCs/>
          <w:sz w:val="20"/>
          <w:szCs w:val="20"/>
        </w:rPr>
        <w:instrText>t</w:instrText>
      </w:r>
      <w:r>
        <w:instrText>) \F(</w:instrText>
      </w:r>
      <w:r>
        <w:instrText>∂</w:instrText>
      </w:r>
      <w:r>
        <w:instrText>,</w:instrText>
      </w:r>
      <w:r>
        <w:instrText>∂</w:instrText>
      </w:r>
      <w:r>
        <w:rPr>
          <w:i/>
          <w:iCs/>
        </w:rPr>
        <w:instrText>r</w:instrText>
      </w:r>
      <w:r>
        <w:instrText>) \b ( \F(</w:instrText>
      </w:r>
      <w:r>
        <w:instrText>σ</w:instrText>
      </w:r>
      <w:r>
        <w:instrText>\s\do6(</w:instrText>
      </w:r>
      <w:r>
        <w:rPr>
          <w:i/>
          <w:iCs/>
          <w:sz w:val="20"/>
          <w:szCs w:val="20"/>
        </w:rPr>
        <w:instrText>r</w:instrText>
      </w:r>
      <w:r>
        <w:rPr>
          <w:sz w:val="20"/>
          <w:szCs w:val="20"/>
        </w:rPr>
        <w:instrText>Θ</w:instrText>
      </w:r>
      <w:r>
        <w:instrText>),</w:instrText>
      </w:r>
      <w:r>
        <w:instrText>ν</w:instrText>
      </w:r>
      <w:r>
        <w:instrText>\s\do6(</w:instrText>
      </w:r>
      <w:r>
        <w:rPr>
          <w:i/>
          <w:iCs/>
          <w:sz w:val="20"/>
          <w:szCs w:val="20"/>
        </w:rPr>
        <w:instrText>t</w:instrText>
      </w:r>
      <w:r>
        <w:instrText>)))+ \F(</w:instrText>
      </w:r>
      <w:r>
        <w:instrText>σ</w:instrText>
      </w:r>
      <w:r>
        <w:instrText>\s\do6(</w:instrText>
      </w:r>
      <w:r>
        <w:rPr>
          <w:i/>
          <w:iCs/>
          <w:sz w:val="20"/>
          <w:szCs w:val="20"/>
        </w:rPr>
        <w:instrText>r</w:instrText>
      </w:r>
      <w:r>
        <w:rPr>
          <w:sz w:val="20"/>
          <w:szCs w:val="20"/>
        </w:rPr>
        <w:instrText>Θ</w:instrText>
      </w:r>
      <w:r>
        <w:instrText>),</w:instrText>
      </w:r>
      <w:r>
        <w:instrText>ν</w:instrText>
      </w:r>
      <w:r>
        <w:instrText>\s\do6(</w:instrText>
      </w:r>
      <w:r>
        <w:rPr>
          <w:i/>
          <w:iCs/>
          <w:sz w:val="20"/>
          <w:szCs w:val="20"/>
        </w:rPr>
        <w:instrText>t</w:instrText>
      </w:r>
      <w:r>
        <w:instrText>)) \F(</w:instrText>
      </w:r>
      <w:r>
        <w:instrText>∂ν</w:instrText>
      </w:r>
      <w:r>
        <w:instrText>\s\do6(</w:instrText>
      </w:r>
      <w:r>
        <w:rPr>
          <w:i/>
          <w:iCs/>
          <w:sz w:val="20"/>
          <w:szCs w:val="20"/>
        </w:rPr>
        <w:instrText>t</w:instrText>
      </w:r>
      <w:r>
        <w:instrText>),</w:instrText>
      </w:r>
      <w:r>
        <w:instrText>∂</w:instrText>
      </w:r>
      <w:r>
        <w:rPr>
          <w:i/>
          <w:iCs/>
        </w:rPr>
        <w:instrText>r</w:instrText>
      </w:r>
      <w:r>
        <w:instrText>)+2 \F(</w:instrText>
      </w:r>
      <w:r>
        <w:instrText>σ</w:instrText>
      </w:r>
      <w:r>
        <w:instrText>\s\do6(</w:instrText>
      </w:r>
      <w:r>
        <w:rPr>
          <w:i/>
          <w:iCs/>
          <w:sz w:val="20"/>
          <w:szCs w:val="20"/>
        </w:rPr>
        <w:instrText>r</w:instrText>
      </w:r>
      <w:r>
        <w:rPr>
          <w:sz w:val="20"/>
          <w:szCs w:val="20"/>
        </w:rPr>
        <w:instrText>Θ</w:instrText>
      </w:r>
      <w:r>
        <w:instrText>),</w:instrText>
      </w:r>
      <w:r>
        <w:rPr>
          <w:i/>
          <w:iCs/>
        </w:rPr>
        <w:instrText>r</w:instrText>
      </w:r>
      <w:r>
        <w:instrText>)</w:instrText>
      </w:r>
      <w:r>
        <w:fldChar w:fldCharType="end"/>
      </w:r>
    </w:p>
    <w:p w:rsidR="00000000" w:rsidRDefault="00B4505B">
      <w:pPr>
        <w:pStyle w:val="equationArrayNum"/>
        <w:tabs>
          <w:tab w:val="right" w:pos="3902"/>
          <w:tab w:val="center" w:pos="4336"/>
          <w:tab w:val="left" w:pos="4769"/>
          <w:tab w:val="right" w:pos="8672"/>
        </w:tabs>
      </w:pPr>
      <w:r>
        <w:tab/>
      </w:r>
      <w:r>
        <w:fldChar w:fldCharType="begin"/>
      </w:r>
      <w:r>
        <w:instrText xml:space="preserve"> EQ </w:instrText>
      </w:r>
      <w:r>
        <w:fldChar w:fldCharType="end"/>
      </w:r>
      <w:r>
        <w:tab/>
      </w:r>
      <w:r>
        <w:fldChar w:fldCharType="begin"/>
      </w:r>
      <w:r>
        <w:instrText xml:space="preserve"> EQ =</w:instrText>
      </w:r>
      <w:r>
        <w:fldChar w:fldCharType="end"/>
      </w:r>
      <w:r>
        <w:tab/>
      </w:r>
      <w:r>
        <w:fldChar w:fldCharType="begin"/>
      </w:r>
      <w:r>
        <w:instrText xml:space="preserve"> EQ </w:instrText>
      </w:r>
      <w:r>
        <w:instrText>ν</w:instrText>
      </w:r>
      <w:r>
        <w:instrText>\s\do6(</w:instrText>
      </w:r>
      <w:r>
        <w:rPr>
          <w:i/>
          <w:iCs/>
          <w:sz w:val="20"/>
          <w:szCs w:val="20"/>
        </w:rPr>
        <w:instrText>t</w:instrText>
      </w:r>
      <w:r>
        <w:instrText>) \F(</w:instrText>
      </w:r>
      <w:r>
        <w:instrText>∂ω</w:instrText>
      </w:r>
      <w:r>
        <w:instrText>,</w:instrText>
      </w:r>
      <w:r>
        <w:instrText>∂</w:instrText>
      </w:r>
      <w:r>
        <w:rPr>
          <w:i/>
          <w:iCs/>
        </w:rPr>
        <w:instrText>r</w:instrText>
      </w:r>
      <w:r>
        <w:instrText>)</w:instrText>
      </w:r>
      <w:r>
        <w:instrText>−</w:instrText>
      </w:r>
      <w:r>
        <w:instrText>2</w:instrText>
      </w:r>
      <w:r>
        <w:instrText>ν</w:instrText>
      </w:r>
      <w:r>
        <w:instrText>\s\do6(</w:instrText>
      </w:r>
      <w:r>
        <w:rPr>
          <w:i/>
          <w:iCs/>
          <w:sz w:val="20"/>
          <w:szCs w:val="20"/>
        </w:rPr>
        <w:instrText>t</w:instrText>
      </w:r>
      <w:r>
        <w:instrText>) \F(</w:instrText>
      </w:r>
      <w:r>
        <w:instrText>∂</w:instrText>
      </w:r>
      <w:r>
        <w:instrText>,</w:instrText>
      </w:r>
      <w:r>
        <w:instrText>∂</w:instrText>
      </w:r>
      <w:r>
        <w:rPr>
          <w:i/>
          <w:iCs/>
        </w:rPr>
        <w:instrText>r</w:instrText>
      </w:r>
      <w:r>
        <w:instrText>) \b ( \F(</w:instrText>
      </w:r>
      <w:r>
        <w:rPr>
          <w:i/>
          <w:iCs/>
        </w:rPr>
        <w:instrText>u</w:instrText>
      </w:r>
      <w:r>
        <w:instrText>\s\do6(</w:instrText>
      </w:r>
      <w:r>
        <w:rPr>
          <w:sz w:val="20"/>
          <w:szCs w:val="20"/>
        </w:rPr>
        <w:instrText>Θ</w:instrText>
      </w:r>
      <w:r>
        <w:instrText>),</w:instrText>
      </w:r>
      <w:r>
        <w:rPr>
          <w:i/>
          <w:iCs/>
        </w:rPr>
        <w:instrText>r</w:instrText>
      </w:r>
      <w:r>
        <w:instrText>))\s\do6(</w:instrText>
      </w:r>
      <w:r>
        <w:rPr>
          <w:sz w:val="20"/>
          <w:szCs w:val="20"/>
        </w:rPr>
        <w:instrText>2</w:instrText>
      </w:r>
      <w:r>
        <w:rPr>
          <w:sz w:val="20"/>
          <w:szCs w:val="20"/>
        </w:rPr>
        <w:instrText>σ</w:instrText>
      </w:r>
      <w:r>
        <w:rPr>
          <w:sz w:val="20"/>
          <w:szCs w:val="20"/>
        </w:rPr>
        <w:instrText>\s\do5(</w:instrText>
      </w:r>
      <w:r>
        <w:rPr>
          <w:i/>
          <w:iCs/>
          <w:sz w:val="16"/>
          <w:szCs w:val="16"/>
        </w:rPr>
        <w:instrText>r</w:instrText>
      </w:r>
      <w:r>
        <w:rPr>
          <w:sz w:val="16"/>
          <w:szCs w:val="16"/>
        </w:rPr>
        <w:instrText>Θ</w:instrText>
      </w:r>
      <w:r>
        <w:rPr>
          <w:sz w:val="20"/>
          <w:szCs w:val="20"/>
        </w:rPr>
        <w:instrText>)/</w:instrText>
      </w:r>
      <w:r>
        <w:rPr>
          <w:i/>
          <w:iCs/>
          <w:sz w:val="20"/>
          <w:szCs w:val="20"/>
        </w:rPr>
        <w:instrText>r</w:instrText>
      </w:r>
      <w:r>
        <w:instrText>)+ \F(</w:instrText>
      </w:r>
      <w:r>
        <w:instrText>σ</w:instrText>
      </w:r>
      <w:r>
        <w:instrText>\s\do6(</w:instrText>
      </w:r>
      <w:r>
        <w:rPr>
          <w:i/>
          <w:iCs/>
          <w:sz w:val="20"/>
          <w:szCs w:val="20"/>
        </w:rPr>
        <w:instrText>r</w:instrText>
      </w:r>
      <w:r>
        <w:rPr>
          <w:sz w:val="20"/>
          <w:szCs w:val="20"/>
        </w:rPr>
        <w:instrText>Θ</w:instrText>
      </w:r>
      <w:r>
        <w:instrText>),</w:instrText>
      </w:r>
      <w:r>
        <w:instrText>ν</w:instrText>
      </w:r>
      <w:r>
        <w:instrText>\s\do6(</w:instrText>
      </w:r>
      <w:r>
        <w:rPr>
          <w:i/>
          <w:iCs/>
          <w:sz w:val="20"/>
          <w:szCs w:val="20"/>
        </w:rPr>
        <w:instrText>t</w:instrText>
      </w:r>
      <w:r>
        <w:instrText>)) \F(</w:instrText>
      </w:r>
      <w:r>
        <w:instrText>∂ν</w:instrText>
      </w:r>
      <w:r>
        <w:instrText>\s\do6(</w:instrText>
      </w:r>
      <w:r>
        <w:rPr>
          <w:i/>
          <w:iCs/>
          <w:sz w:val="20"/>
          <w:szCs w:val="20"/>
        </w:rPr>
        <w:instrText>t</w:instrText>
      </w:r>
      <w:r>
        <w:instrText>),</w:instrText>
      </w:r>
      <w:r>
        <w:instrText>∂</w:instrText>
      </w:r>
      <w:r>
        <w:rPr>
          <w:i/>
          <w:iCs/>
        </w:rPr>
        <w:instrText>r</w:instrText>
      </w:r>
      <w:r>
        <w:instrText>)+2 \F(</w:instrText>
      </w:r>
      <w:r>
        <w:instrText>σ</w:instrText>
      </w:r>
      <w:r>
        <w:instrText>\s\do6(</w:instrText>
      </w:r>
      <w:r>
        <w:rPr>
          <w:i/>
          <w:iCs/>
          <w:sz w:val="20"/>
          <w:szCs w:val="20"/>
        </w:rPr>
        <w:instrText>r</w:instrText>
      </w:r>
      <w:r>
        <w:rPr>
          <w:sz w:val="20"/>
          <w:szCs w:val="20"/>
        </w:rPr>
        <w:instrText>Θ</w:instrText>
      </w:r>
      <w:r>
        <w:instrText>),</w:instrText>
      </w:r>
      <w:r>
        <w:rPr>
          <w:i/>
          <w:iCs/>
        </w:rPr>
        <w:instrText>r</w:instrText>
      </w:r>
      <w:r>
        <w:instrText>)</w:instrText>
      </w:r>
      <w:r>
        <w:fldChar w:fldCharType="end"/>
      </w:r>
    </w:p>
    <w:p w:rsidR="00000000" w:rsidRDefault="00B4505B">
      <w:pPr>
        <w:pStyle w:val="equationArrayNum"/>
        <w:tabs>
          <w:tab w:val="right" w:pos="3902"/>
          <w:tab w:val="center" w:pos="4336"/>
          <w:tab w:val="left" w:pos="4769"/>
          <w:tab w:val="right" w:pos="8672"/>
        </w:tabs>
      </w:pPr>
      <w:r>
        <w:tab/>
      </w:r>
      <w:r>
        <w:fldChar w:fldCharType="begin"/>
      </w:r>
      <w:r>
        <w:instrText xml:space="preserve"> EQ </w:instrText>
      </w:r>
      <w:r>
        <w:fldChar w:fldCharType="end"/>
      </w:r>
      <w:r>
        <w:tab/>
      </w:r>
      <w:r>
        <w:fldChar w:fldCharType="begin"/>
      </w:r>
      <w:r>
        <w:instrText xml:space="preserve"> EQ =</w:instrText>
      </w:r>
      <w:r>
        <w:fldChar w:fldCharType="end"/>
      </w:r>
      <w:r>
        <w:tab/>
      </w:r>
      <w:r>
        <w:fldChar w:fldCharType="begin"/>
      </w:r>
      <w:r>
        <w:instrText xml:space="preserve"> EQ </w:instrText>
      </w:r>
      <w:r>
        <w:instrText>ν</w:instrText>
      </w:r>
      <w:r>
        <w:instrText>\s\do6(</w:instrText>
      </w:r>
      <w:r>
        <w:rPr>
          <w:i/>
          <w:iCs/>
          <w:sz w:val="20"/>
          <w:szCs w:val="20"/>
        </w:rPr>
        <w:instrText>t</w:instrText>
      </w:r>
      <w:r>
        <w:instrText>) \F(</w:instrText>
      </w:r>
      <w:r>
        <w:instrText>∂ω</w:instrText>
      </w:r>
      <w:r>
        <w:instrText>,</w:instrText>
      </w:r>
      <w:r>
        <w:instrText>∂</w:instrText>
      </w:r>
      <w:r>
        <w:rPr>
          <w:i/>
          <w:iCs/>
        </w:rPr>
        <w:instrText>r</w:instrText>
      </w:r>
      <w:r>
        <w:instrText>)+ \F(</w:instrText>
      </w:r>
      <w:r>
        <w:instrText>σ</w:instrText>
      </w:r>
      <w:r>
        <w:instrText>\s\do6(</w:instrText>
      </w:r>
      <w:r>
        <w:rPr>
          <w:i/>
          <w:iCs/>
          <w:sz w:val="20"/>
          <w:szCs w:val="20"/>
        </w:rPr>
        <w:instrText>r</w:instrText>
      </w:r>
      <w:r>
        <w:rPr>
          <w:sz w:val="20"/>
          <w:szCs w:val="20"/>
        </w:rPr>
        <w:instrText>Θ</w:instrText>
      </w:r>
      <w:r>
        <w:instrText>),</w:instrText>
      </w:r>
      <w:r>
        <w:instrText>ν</w:instrText>
      </w:r>
      <w:r>
        <w:instrText>\s\do6(</w:instrText>
      </w:r>
      <w:r>
        <w:rPr>
          <w:i/>
          <w:iCs/>
          <w:sz w:val="20"/>
          <w:szCs w:val="20"/>
        </w:rPr>
        <w:instrText>t</w:instrText>
      </w:r>
      <w:r>
        <w:instrText>)) \F(</w:instrText>
      </w:r>
      <w:r>
        <w:instrText>∂ν</w:instrText>
      </w:r>
      <w:r>
        <w:instrText>\s\do6(</w:instrText>
      </w:r>
      <w:r>
        <w:rPr>
          <w:i/>
          <w:iCs/>
          <w:sz w:val="20"/>
          <w:szCs w:val="20"/>
        </w:rPr>
        <w:instrText>t</w:instrText>
      </w:r>
      <w:r>
        <w:instrText>),</w:instrText>
      </w:r>
      <w:r>
        <w:instrText>∂</w:instrText>
      </w:r>
      <w:r>
        <w:rPr>
          <w:i/>
          <w:iCs/>
        </w:rPr>
        <w:instrText>r</w:instrText>
      </w:r>
      <w:r>
        <w:instrText>)</w:instrText>
      </w:r>
      <w:r>
        <w:fldChar w:fldCharType="end"/>
      </w:r>
      <w:r>
        <w:tab/>
        <w:t>(</w:t>
      </w:r>
      <w:bookmarkStart w:id="7" w:name="BMeq_alt_mom"/>
      <w:r>
        <w:t>7</w:t>
      </w:r>
      <w:bookmarkEnd w:id="7"/>
      <w:r>
        <w:t>)</w:t>
      </w:r>
    </w:p>
    <w:p w:rsidR="00000000" w:rsidRDefault="00B4505B">
      <w:pPr>
        <w:ind w:firstLine="360"/>
      </w:pPr>
      <w:r>
        <w:t>An evolution equation for the vorticity can be derived from this equation by making use of Eq. (</w:t>
      </w:r>
      <w:fldSimple w:instr="REF BMeq_vort_def \* MERGEFORMAT ">
        <w:r>
          <w:t>2</w:t>
        </w:r>
      </w:fldSimple>
      <w:r>
        <w:t xml:space="preserve">) </w:t>
      </w:r>
    </w:p>
    <w:p w:rsidR="00000000" w:rsidRDefault="00B4505B">
      <w:pPr>
        <w:pStyle w:val="equationNum"/>
        <w:tabs>
          <w:tab w:val="center" w:pos="4336"/>
          <w:tab w:val="right" w:pos="8672"/>
        </w:tabs>
      </w:pPr>
      <w:r>
        <w:tab/>
      </w:r>
      <w:r>
        <w:fldChar w:fldCharType="begin"/>
      </w:r>
      <w:r>
        <w:instrText xml:space="preserve"> EQ  \F(</w:instrText>
      </w:r>
      <w:r>
        <w:instrText>∂ω</w:instrText>
      </w:r>
      <w:r>
        <w:instrText>,</w:instrText>
      </w:r>
      <w:r>
        <w:instrText>∂</w:instrText>
      </w:r>
      <w:r>
        <w:rPr>
          <w:i/>
          <w:iCs/>
        </w:rPr>
        <w:instrText>t</w:instrText>
      </w:r>
      <w:r>
        <w:instrText>)= \F(</w:instrText>
      </w:r>
      <w:r>
        <w:instrText>∂</w:instrText>
      </w:r>
      <w:r>
        <w:instrText>,</w:instrText>
      </w:r>
      <w:r>
        <w:instrText>∂</w:instrText>
      </w:r>
      <w:r>
        <w:rPr>
          <w:i/>
          <w:iCs/>
        </w:rPr>
        <w:instrText>t</w:instrText>
      </w:r>
      <w:r>
        <w:instrText>) \b ( \F(1,</w:instrText>
      </w:r>
      <w:r>
        <w:rPr>
          <w:i/>
          <w:iCs/>
        </w:rPr>
        <w:instrText>r</w:instrText>
      </w:r>
      <w:r>
        <w:instrText>) \F(</w:instrText>
      </w:r>
      <w:r>
        <w:instrText>∂</w:instrText>
      </w:r>
      <w:r>
        <w:rPr>
          <w:i/>
          <w:iCs/>
        </w:rPr>
        <w:instrText>ru</w:instrText>
      </w:r>
      <w:r>
        <w:instrText>\s\do6(</w:instrText>
      </w:r>
      <w:r>
        <w:rPr>
          <w:sz w:val="20"/>
          <w:szCs w:val="20"/>
        </w:rPr>
        <w:instrText>Θ</w:instrText>
      </w:r>
      <w:r>
        <w:instrText>),</w:instrText>
      </w:r>
      <w:r>
        <w:instrText>∂</w:instrText>
      </w:r>
      <w:r>
        <w:rPr>
          <w:i/>
          <w:iCs/>
        </w:rPr>
        <w:instrText>r</w:instrText>
      </w:r>
      <w:r>
        <w:instrText>))= \F(1,</w:instrText>
      </w:r>
      <w:r>
        <w:rPr>
          <w:i/>
          <w:iCs/>
        </w:rPr>
        <w:instrText>r</w:instrText>
      </w:r>
      <w:r>
        <w:instrText>) \F(</w:instrText>
      </w:r>
      <w:r>
        <w:instrText>∂</w:instrText>
      </w:r>
      <w:r>
        <w:instrText>,</w:instrText>
      </w:r>
      <w:r>
        <w:instrText>∂</w:instrText>
      </w:r>
      <w:r>
        <w:rPr>
          <w:i/>
          <w:iCs/>
        </w:rPr>
        <w:instrText>r</w:instrText>
      </w:r>
      <w:r>
        <w:instrText>) \b \bc\[ (</w:instrText>
      </w:r>
      <w:r>
        <w:rPr>
          <w:i/>
          <w:iCs/>
        </w:rPr>
        <w:instrText>r</w:instrText>
      </w:r>
      <w:r>
        <w:instrText xml:space="preserve"> \b (</w:instrText>
      </w:r>
      <w:r>
        <w:instrText>ν</w:instrText>
      </w:r>
      <w:r>
        <w:instrText>\s\do6(</w:instrText>
      </w:r>
      <w:r>
        <w:rPr>
          <w:i/>
          <w:iCs/>
          <w:sz w:val="20"/>
          <w:szCs w:val="20"/>
        </w:rPr>
        <w:instrText>t</w:instrText>
      </w:r>
      <w:r>
        <w:instrText>) \F(</w:instrText>
      </w:r>
      <w:r>
        <w:instrText>∂ω</w:instrText>
      </w:r>
      <w:r>
        <w:instrText>,</w:instrText>
      </w:r>
      <w:r>
        <w:instrText>∂</w:instrText>
      </w:r>
      <w:r>
        <w:rPr>
          <w:i/>
          <w:iCs/>
        </w:rPr>
        <w:instrText>r</w:instrText>
      </w:r>
      <w:r>
        <w:instrText>)+ \F(</w:instrText>
      </w:r>
      <w:r>
        <w:instrText>σ</w:instrText>
      </w:r>
      <w:r>
        <w:instrText>\s\do6(</w:instrText>
      </w:r>
      <w:r>
        <w:rPr>
          <w:i/>
          <w:iCs/>
          <w:sz w:val="20"/>
          <w:szCs w:val="20"/>
        </w:rPr>
        <w:instrText>r</w:instrText>
      </w:r>
      <w:r>
        <w:rPr>
          <w:sz w:val="20"/>
          <w:szCs w:val="20"/>
        </w:rPr>
        <w:instrText>Θ</w:instrText>
      </w:r>
      <w:r>
        <w:instrText>),</w:instrText>
      </w:r>
      <w:r>
        <w:instrText>ν</w:instrText>
      </w:r>
      <w:r>
        <w:instrText>\s\do6(</w:instrText>
      </w:r>
      <w:r>
        <w:rPr>
          <w:i/>
          <w:iCs/>
          <w:sz w:val="20"/>
          <w:szCs w:val="20"/>
        </w:rPr>
        <w:instrText>t</w:instrText>
      </w:r>
      <w:r>
        <w:instrText>)) \F(</w:instrText>
      </w:r>
      <w:r>
        <w:instrText>∂ν</w:instrText>
      </w:r>
      <w:r>
        <w:instrText>\s\do6(</w:instrText>
      </w:r>
      <w:r>
        <w:rPr>
          <w:i/>
          <w:iCs/>
          <w:sz w:val="20"/>
          <w:szCs w:val="20"/>
        </w:rPr>
        <w:instrText>t</w:instrText>
      </w:r>
      <w:r>
        <w:instrText>),</w:instrText>
      </w:r>
      <w:r>
        <w:instrText>∂</w:instrText>
      </w:r>
      <w:r>
        <w:rPr>
          <w:i/>
          <w:iCs/>
        </w:rPr>
        <w:instrText>r</w:instrText>
      </w:r>
      <w:r>
        <w:instrText>)))</w:instrText>
      </w:r>
      <w:r>
        <w:fldChar w:fldCharType="end"/>
      </w:r>
      <w:r>
        <w:tab/>
        <w:t>(</w:t>
      </w:r>
      <w:bookmarkStart w:id="8" w:name="BMeq_vort"/>
      <w:r>
        <w:t>8</w:t>
      </w:r>
      <w:bookmarkEnd w:id="8"/>
      <w:r>
        <w:t>)</w:t>
      </w:r>
    </w:p>
    <w:p w:rsidR="00000000" w:rsidRDefault="00B4505B">
      <w:pPr>
        <w:ind w:firstLine="360"/>
      </w:pPr>
      <w:r>
        <w:t>Equations (</w:t>
      </w:r>
      <w:fldSimple w:instr="REF BMeq_circ_def \* MERGEFORMAT ">
        <w:r>
          <w:t>3</w:t>
        </w:r>
      </w:fldSimple>
      <w:r>
        <w:t>) and (</w:t>
      </w:r>
      <w:fldSimple w:instr="REF BMeq_alt_mom \* MERGEFORMAT ">
        <w:r>
          <w:t>7</w:t>
        </w:r>
      </w:fldSimple>
      <w:r>
        <w:t xml:space="preserve">) can be combined to yield the following evolution equation for the circulation </w:t>
      </w:r>
    </w:p>
    <w:p w:rsidR="00000000" w:rsidRDefault="00B4505B">
      <w:pPr>
        <w:pStyle w:val="equationNum"/>
        <w:tabs>
          <w:tab w:val="center" w:pos="4336"/>
          <w:tab w:val="right" w:pos="8672"/>
        </w:tabs>
      </w:pPr>
      <w:r>
        <w:tab/>
      </w:r>
      <w:r>
        <w:fldChar w:fldCharType="begin"/>
      </w:r>
      <w:r>
        <w:instrText xml:space="preserve"> EQ  \F(</w:instrText>
      </w:r>
      <w:r>
        <w:instrText>∂Γ</w:instrText>
      </w:r>
      <w:r>
        <w:instrText>,</w:instrText>
      </w:r>
      <w:r>
        <w:instrText>∂</w:instrText>
      </w:r>
      <w:r>
        <w:rPr>
          <w:i/>
          <w:iCs/>
        </w:rPr>
        <w:instrText>t</w:instrText>
      </w:r>
      <w:r>
        <w:instrText>)=2</w:instrText>
      </w:r>
      <w:r>
        <w:instrText>π</w:instrText>
      </w:r>
      <w:r>
        <w:rPr>
          <w:i/>
          <w:iCs/>
        </w:rPr>
        <w:instrText>r</w:instrText>
      </w:r>
      <w:r>
        <w:instrText xml:space="preserve"> \b (</w:instrText>
      </w:r>
      <w:r>
        <w:instrText>ν</w:instrText>
      </w:r>
      <w:r>
        <w:instrText>\s\do6(</w:instrText>
      </w:r>
      <w:r>
        <w:rPr>
          <w:i/>
          <w:iCs/>
          <w:sz w:val="20"/>
          <w:szCs w:val="20"/>
        </w:rPr>
        <w:instrText>t</w:instrText>
      </w:r>
      <w:r>
        <w:instrText>) \F(</w:instrText>
      </w:r>
      <w:r>
        <w:instrText>∂ω</w:instrText>
      </w:r>
      <w:r>
        <w:instrText>,</w:instrText>
      </w:r>
      <w:r>
        <w:instrText>∂</w:instrText>
      </w:r>
      <w:r>
        <w:rPr>
          <w:i/>
          <w:iCs/>
        </w:rPr>
        <w:instrText>r</w:instrText>
      </w:r>
      <w:r>
        <w:instrText>)+ \F(</w:instrText>
      </w:r>
      <w:r>
        <w:instrText>σ</w:instrText>
      </w:r>
      <w:r>
        <w:instrText>\s\do6(</w:instrText>
      </w:r>
      <w:r>
        <w:rPr>
          <w:i/>
          <w:iCs/>
          <w:sz w:val="20"/>
          <w:szCs w:val="20"/>
        </w:rPr>
        <w:instrText>r</w:instrText>
      </w:r>
      <w:r>
        <w:rPr>
          <w:sz w:val="20"/>
          <w:szCs w:val="20"/>
        </w:rPr>
        <w:instrText>Θ</w:instrText>
      </w:r>
      <w:r>
        <w:instrText>),</w:instrText>
      </w:r>
      <w:r>
        <w:instrText>ν</w:instrText>
      </w:r>
      <w:r>
        <w:instrText>\s\do6(</w:instrText>
      </w:r>
      <w:r>
        <w:rPr>
          <w:i/>
          <w:iCs/>
          <w:sz w:val="20"/>
          <w:szCs w:val="20"/>
        </w:rPr>
        <w:instrText>t</w:instrText>
      </w:r>
      <w:r>
        <w:instrText>)) \F(</w:instrText>
      </w:r>
      <w:r>
        <w:instrText>∂ν</w:instrText>
      </w:r>
      <w:r>
        <w:instrText>\s\do6(</w:instrText>
      </w:r>
      <w:r>
        <w:rPr>
          <w:i/>
          <w:iCs/>
          <w:sz w:val="20"/>
          <w:szCs w:val="20"/>
        </w:rPr>
        <w:instrText>t</w:instrText>
      </w:r>
      <w:r>
        <w:instrText>),</w:instrText>
      </w:r>
      <w:r>
        <w:instrText>∂</w:instrText>
      </w:r>
      <w:r>
        <w:rPr>
          <w:i/>
          <w:iCs/>
        </w:rPr>
        <w:instrText>r</w:instrText>
      </w:r>
      <w:r>
        <w:instrText>))</w:instrText>
      </w:r>
      <w:r>
        <w:fldChar w:fldCharType="end"/>
      </w:r>
      <w:r>
        <w:tab/>
      </w:r>
      <w:r>
        <w:t>(</w:t>
      </w:r>
      <w:bookmarkStart w:id="9" w:name="BMeq_dgamdt"/>
      <w:r>
        <w:t>9</w:t>
      </w:r>
      <w:bookmarkEnd w:id="9"/>
      <w:r>
        <w:t>)</w:t>
      </w:r>
    </w:p>
    <w:p w:rsidR="00000000" w:rsidRDefault="00B4505B">
      <w:pPr>
        <w:ind w:firstLine="360"/>
      </w:pPr>
      <w:r>
        <w:t>We start the analysis by requiring that velocity profile obey Eq. (</w:t>
      </w:r>
      <w:fldSimple w:instr="REF BMeq_bh \* MERGEFORMAT ">
        <w:r>
          <w:t>1</w:t>
        </w:r>
      </w:fldSimple>
      <w:r>
        <w:t xml:space="preserve">) with </w:t>
      </w:r>
      <w:r>
        <w:rPr>
          <w:i/>
          <w:iCs/>
        </w:rPr>
        <w:t>R</w:t>
      </w:r>
      <w:r>
        <w:t xml:space="preserve"> fixed but </w:t>
      </w:r>
      <w:r>
        <w:fldChar w:fldCharType="begin"/>
      </w:r>
      <w:r>
        <w:instrText xml:space="preserve"> EQ </w:instrText>
      </w:r>
      <w:r>
        <w:instrText>Γ</w:instrText>
      </w:r>
      <w:r>
        <w:instrText>\s\do6(</w:instrText>
      </w:r>
      <w:r>
        <w:rPr>
          <w:sz w:val="20"/>
          <w:szCs w:val="20"/>
        </w:rPr>
        <w:instrText>∞</w:instrText>
      </w:r>
      <w:r>
        <w:instrText>)</w:instrText>
      </w:r>
      <w:r>
        <w:fldChar w:fldCharType="end"/>
      </w:r>
      <w:r>
        <w:t xml:space="preserve"> variable in time. Equations (</w:t>
      </w:r>
      <w:fldSimple w:instr="REF BMeq_bh \* MERGEFORMAT ">
        <w:r>
          <w:t>1</w:t>
        </w:r>
      </w:fldSimple>
      <w:r>
        <w:t>), (</w:t>
      </w:r>
      <w:fldSimple w:instr="REF BMeq_vort_def \* MERGEFORMAT ">
        <w:r>
          <w:t>2</w:t>
        </w:r>
      </w:fldSimple>
      <w:r>
        <w:t>) and (</w:t>
      </w:r>
      <w:fldSimple w:instr="REF BMeq_stress \* MERGEFORMAT ">
        <w:r>
          <w:t>6</w:t>
        </w:r>
      </w:fldSimple>
      <w:r>
        <w:t xml:space="preserve">) then give the following expressions for the velocity time derivative, the vorticity, its radial derivative, and the shear stress </w:t>
      </w:r>
    </w:p>
    <w:p w:rsidR="00000000" w:rsidRDefault="00B4505B">
      <w:pPr>
        <w:pStyle w:val="equationNum"/>
        <w:tabs>
          <w:tab w:val="center" w:pos="4336"/>
          <w:tab w:val="right" w:pos="8672"/>
        </w:tabs>
      </w:pPr>
      <w:r>
        <w:tab/>
      </w:r>
      <w:r>
        <w:fldChar w:fldCharType="begin"/>
      </w:r>
      <w:r>
        <w:instrText xml:space="preserve"> EQ  \F(</w:instrText>
      </w:r>
      <w:r>
        <w:instrText>∂</w:instrText>
      </w:r>
      <w:r>
        <w:rPr>
          <w:i/>
          <w:iCs/>
        </w:rPr>
        <w:instrText>u</w:instrText>
      </w:r>
      <w:r>
        <w:instrText>\s\do6(</w:instrText>
      </w:r>
      <w:r>
        <w:rPr>
          <w:sz w:val="20"/>
          <w:szCs w:val="20"/>
        </w:rPr>
        <w:instrText>Θ</w:instrText>
      </w:r>
      <w:r>
        <w:instrText>),</w:instrText>
      </w:r>
      <w:r>
        <w:instrText>∂</w:instrText>
      </w:r>
      <w:r>
        <w:rPr>
          <w:i/>
          <w:iCs/>
        </w:rPr>
        <w:instrText>t</w:instrText>
      </w:r>
      <w:r>
        <w:instrText>)= \b ( \F(</w:instrText>
      </w:r>
      <w:r>
        <w:instrText>Γ</w:instrText>
      </w:r>
      <w:r>
        <w:instrText>\s\do6(</w:instrText>
      </w:r>
      <w:r>
        <w:rPr>
          <w:sz w:val="20"/>
          <w:szCs w:val="20"/>
        </w:rPr>
        <w:instrText>∞</w:instrText>
      </w:r>
      <w:r>
        <w:instrText>),2</w:instrText>
      </w:r>
      <w:r>
        <w:instrText>π</w:instrText>
      </w:r>
      <w:r>
        <w:instrText>)) \b \bc\[ ( \F(</w:instrText>
      </w:r>
      <w:r>
        <w:rPr>
          <w:i/>
          <w:iCs/>
        </w:rPr>
        <w:instrText>r</w:instrText>
      </w:r>
      <w:r>
        <w:instrText>,</w:instrText>
      </w:r>
      <w:r>
        <w:rPr>
          <w:i/>
          <w:iCs/>
        </w:rPr>
        <w:instrText>R</w:instrText>
      </w:r>
      <w:r>
        <w:instrText>\s\up6(</w:instrText>
      </w:r>
      <w:r>
        <w:rPr>
          <w:sz w:val="20"/>
          <w:szCs w:val="20"/>
        </w:rPr>
        <w:instrText>2</w:instrText>
      </w:r>
      <w:r>
        <w:instrText>)+</w:instrText>
      </w:r>
      <w:r>
        <w:rPr>
          <w:i/>
          <w:iCs/>
        </w:rPr>
        <w:instrText>r</w:instrText>
      </w:r>
      <w:r>
        <w:instrText>\s\up6(</w:instrText>
      </w:r>
      <w:r>
        <w:rPr>
          <w:sz w:val="20"/>
          <w:szCs w:val="20"/>
        </w:rPr>
        <w:instrText>2</w:instrText>
      </w:r>
      <w:r>
        <w:instrText>))) \b ( \F(1,</w:instrText>
      </w:r>
      <w:r>
        <w:instrText>Γ</w:instrText>
      </w:r>
      <w:r>
        <w:instrText>\s\do6(</w:instrText>
      </w:r>
      <w:r>
        <w:rPr>
          <w:sz w:val="20"/>
          <w:szCs w:val="20"/>
        </w:rPr>
        <w:instrText>∞</w:instrText>
      </w:r>
      <w:r>
        <w:instrText>)) \F(</w:instrText>
      </w:r>
      <w:r>
        <w:rPr>
          <w:i/>
          <w:iCs/>
        </w:rPr>
        <w:instrText>d</w:instrText>
      </w:r>
      <w:r>
        <w:instrText>Γ</w:instrText>
      </w:r>
      <w:r>
        <w:instrText>\s\do6(</w:instrText>
      </w:r>
      <w:r>
        <w:rPr>
          <w:sz w:val="20"/>
          <w:szCs w:val="20"/>
        </w:rPr>
        <w:instrText>∞</w:instrText>
      </w:r>
      <w:r>
        <w:instrText>),</w:instrText>
      </w:r>
      <w:r>
        <w:rPr>
          <w:i/>
          <w:iCs/>
        </w:rPr>
        <w:instrText>dt</w:instrText>
      </w:r>
      <w:r>
        <w:instrText>))</w:instrText>
      </w:r>
      <w:r>
        <w:fldChar w:fldCharType="end"/>
      </w:r>
      <w:r>
        <w:tab/>
        <w:t>(</w:t>
      </w:r>
      <w:bookmarkStart w:id="10" w:name="BMeq_bh_dudt"/>
      <w:r>
        <w:t>10</w:t>
      </w:r>
      <w:bookmarkEnd w:id="10"/>
      <w:r>
        <w:t>)</w:t>
      </w:r>
    </w:p>
    <w:p w:rsidR="00000000" w:rsidRDefault="00B4505B">
      <w:pPr>
        <w:pStyle w:val="equationNum"/>
        <w:tabs>
          <w:tab w:val="center" w:pos="4336"/>
          <w:tab w:val="right" w:pos="8672"/>
        </w:tabs>
      </w:pPr>
      <w:r>
        <w:lastRenderedPageBreak/>
        <w:tab/>
      </w:r>
      <w:r>
        <w:fldChar w:fldCharType="begin"/>
      </w:r>
      <w:r>
        <w:instrText xml:space="preserve"> EQ </w:instrText>
      </w:r>
      <w:r>
        <w:instrText>ω</w:instrText>
      </w:r>
      <w:r>
        <w:instrText>=2 \b ( \F(</w:instrText>
      </w:r>
      <w:r>
        <w:instrText>Γ</w:instrText>
      </w:r>
      <w:r>
        <w:instrText>\s\do6(</w:instrText>
      </w:r>
      <w:r>
        <w:rPr>
          <w:sz w:val="20"/>
          <w:szCs w:val="20"/>
        </w:rPr>
        <w:instrText>∞</w:instrText>
      </w:r>
      <w:r>
        <w:instrText>),2</w:instrText>
      </w:r>
      <w:r>
        <w:instrText>π</w:instrText>
      </w:r>
      <w:r>
        <w:instrText>)) \F(</w:instrText>
      </w:r>
      <w:r>
        <w:rPr>
          <w:i/>
          <w:iCs/>
        </w:rPr>
        <w:instrText>R</w:instrText>
      </w:r>
      <w:r>
        <w:instrText>\s\up6(</w:instrText>
      </w:r>
      <w:r>
        <w:rPr>
          <w:sz w:val="20"/>
          <w:szCs w:val="20"/>
        </w:rPr>
        <w:instrText>2</w:instrText>
      </w:r>
      <w:r>
        <w:instrText>),[</w:instrText>
      </w:r>
      <w:r>
        <w:rPr>
          <w:i/>
          <w:iCs/>
        </w:rPr>
        <w:instrText>R</w:instrText>
      </w:r>
      <w:r>
        <w:instrText>\s\up6(</w:instrText>
      </w:r>
      <w:r>
        <w:rPr>
          <w:sz w:val="20"/>
          <w:szCs w:val="20"/>
        </w:rPr>
        <w:instrText>2</w:instrText>
      </w:r>
      <w:r>
        <w:instrText>)+</w:instrText>
      </w:r>
      <w:r>
        <w:rPr>
          <w:i/>
          <w:iCs/>
        </w:rPr>
        <w:instrText>r</w:instrText>
      </w:r>
      <w:r>
        <w:instrText>\s\up6(</w:instrText>
      </w:r>
      <w:r>
        <w:rPr>
          <w:sz w:val="20"/>
          <w:szCs w:val="20"/>
        </w:rPr>
        <w:instrText>2</w:instrText>
      </w:r>
      <w:r>
        <w:instrText>)]\s\up6(</w:instrText>
      </w:r>
      <w:r>
        <w:rPr>
          <w:sz w:val="20"/>
          <w:szCs w:val="20"/>
        </w:rPr>
        <w:instrText>2</w:instrText>
      </w:r>
      <w:r>
        <w:instrText>))</w:instrText>
      </w:r>
      <w:r>
        <w:fldChar w:fldCharType="end"/>
      </w:r>
      <w:r>
        <w:tab/>
        <w:t>(</w:t>
      </w:r>
      <w:bookmarkStart w:id="11" w:name="BMeq_bh_vort"/>
      <w:r>
        <w:t>11</w:t>
      </w:r>
      <w:bookmarkEnd w:id="11"/>
      <w:r>
        <w:t>)</w:t>
      </w:r>
    </w:p>
    <w:p w:rsidR="00000000" w:rsidRDefault="00B4505B">
      <w:pPr>
        <w:pStyle w:val="equationNum"/>
        <w:tabs>
          <w:tab w:val="center" w:pos="4336"/>
          <w:tab w:val="right" w:pos="8672"/>
        </w:tabs>
      </w:pPr>
      <w:r>
        <w:tab/>
      </w:r>
      <w:r>
        <w:fldChar w:fldCharType="begin"/>
      </w:r>
      <w:r>
        <w:instrText xml:space="preserve"> EQ  \F(</w:instrText>
      </w:r>
      <w:r>
        <w:instrText>∂ω</w:instrText>
      </w:r>
      <w:r>
        <w:instrText>,</w:instrText>
      </w:r>
      <w:r>
        <w:instrText>∂</w:instrText>
      </w:r>
      <w:r>
        <w:rPr>
          <w:i/>
          <w:iCs/>
        </w:rPr>
        <w:instrText>r</w:instrText>
      </w:r>
      <w:r>
        <w:instrText>)=</w:instrText>
      </w:r>
      <w:r>
        <w:instrText>−</w:instrText>
      </w:r>
      <w:r>
        <w:instrText>8 \b ( \F(</w:instrText>
      </w:r>
      <w:r>
        <w:instrText>Γ</w:instrText>
      </w:r>
      <w:r>
        <w:instrText>\s\do6(</w:instrText>
      </w:r>
      <w:r>
        <w:rPr>
          <w:sz w:val="20"/>
          <w:szCs w:val="20"/>
        </w:rPr>
        <w:instrText>∞</w:instrText>
      </w:r>
      <w:r>
        <w:instrText>),2</w:instrText>
      </w:r>
      <w:r>
        <w:instrText>π</w:instrText>
      </w:r>
      <w:r>
        <w:instrText>)) \F(</w:instrText>
      </w:r>
      <w:r>
        <w:rPr>
          <w:i/>
          <w:iCs/>
        </w:rPr>
        <w:instrText>rR</w:instrText>
      </w:r>
      <w:r>
        <w:instrText>\s\up6(</w:instrText>
      </w:r>
      <w:r>
        <w:rPr>
          <w:sz w:val="20"/>
          <w:szCs w:val="20"/>
        </w:rPr>
        <w:instrText>2</w:instrText>
      </w:r>
      <w:r>
        <w:instrText>),[</w:instrText>
      </w:r>
      <w:r>
        <w:rPr>
          <w:i/>
          <w:iCs/>
        </w:rPr>
        <w:instrText>R</w:instrText>
      </w:r>
      <w:r>
        <w:instrText>\s\up6(</w:instrText>
      </w:r>
      <w:r>
        <w:rPr>
          <w:sz w:val="20"/>
          <w:szCs w:val="20"/>
        </w:rPr>
        <w:instrText>2</w:instrText>
      </w:r>
      <w:r>
        <w:instrText>)+</w:instrText>
      </w:r>
      <w:r>
        <w:rPr>
          <w:i/>
          <w:iCs/>
        </w:rPr>
        <w:instrText>r</w:instrText>
      </w:r>
      <w:r>
        <w:instrText>\s\up6(</w:instrText>
      </w:r>
      <w:r>
        <w:rPr>
          <w:sz w:val="20"/>
          <w:szCs w:val="20"/>
        </w:rPr>
        <w:instrText>2</w:instrText>
      </w:r>
      <w:r>
        <w:instrText>)]\s\up6(</w:instrText>
      </w:r>
      <w:r>
        <w:rPr>
          <w:sz w:val="20"/>
          <w:szCs w:val="20"/>
        </w:rPr>
        <w:instrText>3</w:instrText>
      </w:r>
      <w:r>
        <w:instrText>))</w:instrText>
      </w:r>
      <w:r>
        <w:fldChar w:fldCharType="end"/>
      </w:r>
      <w:r>
        <w:tab/>
        <w:t>(</w:t>
      </w:r>
      <w:bookmarkStart w:id="12" w:name="BMeq_bh_vort_deriv"/>
      <w:r>
        <w:t>12</w:t>
      </w:r>
      <w:bookmarkEnd w:id="12"/>
      <w:r>
        <w:t>)</w:t>
      </w:r>
    </w:p>
    <w:p w:rsidR="00000000" w:rsidRDefault="00B4505B">
      <w:pPr>
        <w:pStyle w:val="equationNum"/>
        <w:tabs>
          <w:tab w:val="center" w:pos="4336"/>
          <w:tab w:val="right" w:pos="8672"/>
        </w:tabs>
      </w:pPr>
      <w:r>
        <w:tab/>
      </w:r>
      <w:r>
        <w:fldChar w:fldCharType="begin"/>
      </w:r>
      <w:r>
        <w:instrText xml:space="preserve"> EQ  \F(</w:instrText>
      </w:r>
      <w:r>
        <w:instrText>σ</w:instrText>
      </w:r>
      <w:r>
        <w:instrText>\s\do6(</w:instrText>
      </w:r>
      <w:r>
        <w:rPr>
          <w:i/>
          <w:iCs/>
          <w:sz w:val="20"/>
          <w:szCs w:val="20"/>
        </w:rPr>
        <w:instrText>r</w:instrText>
      </w:r>
      <w:r>
        <w:rPr>
          <w:sz w:val="20"/>
          <w:szCs w:val="20"/>
        </w:rPr>
        <w:instrText>Θ</w:instrText>
      </w:r>
      <w:r>
        <w:instrText>),</w:instrText>
      </w:r>
      <w:r>
        <w:instrText>ν</w:instrText>
      </w:r>
      <w:r>
        <w:instrText>\s\do6(</w:instrText>
      </w:r>
      <w:r>
        <w:rPr>
          <w:i/>
          <w:iCs/>
          <w:sz w:val="20"/>
          <w:szCs w:val="20"/>
        </w:rPr>
        <w:instrText>t</w:instrText>
      </w:r>
      <w:r>
        <w:instrText>))=</w:instrText>
      </w:r>
      <w:r>
        <w:instrText>−</w:instrText>
      </w:r>
      <w:r>
        <w:instrText>2 \b ( \F(</w:instrText>
      </w:r>
      <w:r>
        <w:instrText>Γ</w:instrText>
      </w:r>
      <w:r>
        <w:instrText>\s\do6(</w:instrText>
      </w:r>
      <w:r>
        <w:rPr>
          <w:sz w:val="20"/>
          <w:szCs w:val="20"/>
        </w:rPr>
        <w:instrText>∞</w:instrText>
      </w:r>
      <w:r>
        <w:instrText>),2</w:instrText>
      </w:r>
      <w:r>
        <w:instrText>π</w:instrText>
      </w:r>
      <w:r>
        <w:instrText>)) \F(</w:instrText>
      </w:r>
      <w:r>
        <w:rPr>
          <w:i/>
          <w:iCs/>
        </w:rPr>
        <w:instrText>r</w:instrText>
      </w:r>
      <w:r>
        <w:instrText>\s\up6(</w:instrText>
      </w:r>
      <w:r>
        <w:rPr>
          <w:sz w:val="20"/>
          <w:szCs w:val="20"/>
        </w:rPr>
        <w:instrText>2</w:instrText>
      </w:r>
      <w:r>
        <w:instrText>),[</w:instrText>
      </w:r>
      <w:r>
        <w:rPr>
          <w:i/>
          <w:iCs/>
        </w:rPr>
        <w:instrText>R</w:instrText>
      </w:r>
      <w:r>
        <w:instrText>\s\up6(</w:instrText>
      </w:r>
      <w:r>
        <w:rPr>
          <w:sz w:val="20"/>
          <w:szCs w:val="20"/>
        </w:rPr>
        <w:instrText>2</w:instrText>
      </w:r>
      <w:r>
        <w:instrText>)+</w:instrText>
      </w:r>
      <w:r>
        <w:rPr>
          <w:i/>
          <w:iCs/>
        </w:rPr>
        <w:instrText>r</w:instrText>
      </w:r>
      <w:r>
        <w:instrText>\s\up6(</w:instrText>
      </w:r>
      <w:r>
        <w:rPr>
          <w:sz w:val="20"/>
          <w:szCs w:val="20"/>
        </w:rPr>
        <w:instrText>2</w:instrText>
      </w:r>
      <w:r>
        <w:instrText>)]\s\up6(</w:instrText>
      </w:r>
      <w:r>
        <w:rPr>
          <w:sz w:val="20"/>
          <w:szCs w:val="20"/>
        </w:rPr>
        <w:instrText>2</w:instrText>
      </w:r>
      <w:r>
        <w:instrText>))</w:instrText>
      </w:r>
      <w:r>
        <w:fldChar w:fldCharType="end"/>
      </w:r>
      <w:r>
        <w:tab/>
        <w:t>(</w:t>
      </w:r>
      <w:bookmarkStart w:id="13" w:name="BMeq_bh_sigma"/>
      <w:r>
        <w:t>13</w:t>
      </w:r>
      <w:bookmarkEnd w:id="13"/>
      <w:r>
        <w:t>)</w:t>
      </w:r>
    </w:p>
    <w:p w:rsidR="00000000" w:rsidRDefault="00B4505B">
      <w:pPr>
        <w:ind w:firstLine="360"/>
      </w:pPr>
      <w:r>
        <w:t>If Eqs. (</w:t>
      </w:r>
      <w:fldSimple w:instr="REF BMeq_bh_dudt \* MERGEFORMAT ">
        <w:r>
          <w:t>10</w:t>
        </w:r>
      </w:fldSimple>
      <w:r>
        <w:t>)-(</w:t>
      </w:r>
      <w:fldSimple w:instr="REF BMeq_bh_sigma \* MERGEFORMAT ">
        <w:r>
          <w:t>13</w:t>
        </w:r>
      </w:fldSimple>
      <w:r>
        <w:t>) are substituted into Eq. (</w:t>
      </w:r>
      <w:fldSimple w:instr="REF BMeq_alt_mom \* MERGEFORMAT ">
        <w:r>
          <w:t>7</w:t>
        </w:r>
      </w:fldSimple>
      <w:r>
        <w:t xml:space="preserve">) and the result simplified, the following equation for the eddy viscosity arises </w:t>
      </w:r>
    </w:p>
    <w:p w:rsidR="00000000" w:rsidRDefault="00B4505B">
      <w:pPr>
        <w:pStyle w:val="equationNum"/>
        <w:tabs>
          <w:tab w:val="center" w:pos="4336"/>
          <w:tab w:val="right" w:pos="8672"/>
        </w:tabs>
      </w:pPr>
      <w:r>
        <w:tab/>
      </w:r>
      <w:r>
        <w:fldChar w:fldCharType="begin"/>
      </w:r>
      <w:r>
        <w:instrText xml:space="preserve"> EQ  \F(</w:instrText>
      </w:r>
      <w:r>
        <w:instrText>∂ν</w:instrText>
      </w:r>
      <w:r>
        <w:instrText>\s\do6(</w:instrText>
      </w:r>
      <w:r>
        <w:rPr>
          <w:i/>
          <w:iCs/>
          <w:sz w:val="20"/>
          <w:szCs w:val="20"/>
        </w:rPr>
        <w:instrText>t</w:instrText>
      </w:r>
      <w:r>
        <w:instrText>),</w:instrText>
      </w:r>
      <w:r>
        <w:instrText>∂</w:instrText>
      </w:r>
      <w:r>
        <w:rPr>
          <w:i/>
          <w:iCs/>
        </w:rPr>
        <w:instrText>r</w:instrText>
      </w:r>
      <w:r>
        <w:instrText>)+4</w:instrText>
      </w:r>
      <w:r>
        <w:instrText>ν</w:instrText>
      </w:r>
      <w:r>
        <w:instrText>\s\do6(</w:instrText>
      </w:r>
      <w:r>
        <w:rPr>
          <w:i/>
          <w:iCs/>
          <w:sz w:val="20"/>
          <w:szCs w:val="20"/>
        </w:rPr>
        <w:instrText>t</w:instrText>
      </w:r>
      <w:r>
        <w:instrText>) \b \bc\[ ( \F(</w:instrText>
      </w:r>
      <w:r>
        <w:rPr>
          <w:i/>
          <w:iCs/>
        </w:rPr>
        <w:instrText>R</w:instrText>
      </w:r>
      <w:r>
        <w:instrText>\s\up6</w:instrText>
      </w:r>
      <w:r>
        <w:instrText>(</w:instrText>
      </w:r>
      <w:r>
        <w:rPr>
          <w:sz w:val="20"/>
          <w:szCs w:val="20"/>
        </w:rPr>
        <w:instrText>2</w:instrText>
      </w:r>
      <w:r>
        <w:instrText>),</w:instrText>
      </w:r>
      <w:r>
        <w:rPr>
          <w:i/>
          <w:iCs/>
        </w:rPr>
        <w:instrText>r</w:instrText>
      </w:r>
      <w:r>
        <w:instrText>(</w:instrText>
      </w:r>
      <w:r>
        <w:rPr>
          <w:i/>
          <w:iCs/>
        </w:rPr>
        <w:instrText>R</w:instrText>
      </w:r>
      <w:r>
        <w:instrText>\s\up6(</w:instrText>
      </w:r>
      <w:r>
        <w:rPr>
          <w:sz w:val="20"/>
          <w:szCs w:val="20"/>
        </w:rPr>
        <w:instrText>2</w:instrText>
      </w:r>
      <w:r>
        <w:instrText>)+</w:instrText>
      </w:r>
      <w:r>
        <w:rPr>
          <w:i/>
          <w:iCs/>
        </w:rPr>
        <w:instrText>r</w:instrText>
      </w:r>
      <w:r>
        <w:instrText>\s\up6(</w:instrText>
      </w:r>
      <w:r>
        <w:rPr>
          <w:sz w:val="20"/>
          <w:szCs w:val="20"/>
        </w:rPr>
        <w:instrText>2</w:instrText>
      </w:r>
      <w:r>
        <w:instrText>))))</w:instrText>
      </w:r>
      <w:r>
        <w:instrText>−</w:instrText>
      </w:r>
      <w:r>
        <w:instrText xml:space="preserve"> \F(1,2) \b \bc\[ ( \F(</w:instrText>
      </w:r>
      <w:r>
        <w:rPr>
          <w:i/>
          <w:iCs/>
        </w:rPr>
        <w:instrText>R</w:instrText>
      </w:r>
      <w:r>
        <w:instrText>\s\up6(</w:instrText>
      </w:r>
      <w:r>
        <w:rPr>
          <w:sz w:val="20"/>
          <w:szCs w:val="20"/>
        </w:rPr>
        <w:instrText>2</w:instrText>
      </w:r>
      <w:r>
        <w:instrText>)+</w:instrText>
      </w:r>
      <w:r>
        <w:rPr>
          <w:i/>
          <w:iCs/>
        </w:rPr>
        <w:instrText>r</w:instrText>
      </w:r>
      <w:r>
        <w:instrText>\s\up6(</w:instrText>
      </w:r>
      <w:r>
        <w:rPr>
          <w:sz w:val="20"/>
          <w:szCs w:val="20"/>
        </w:rPr>
        <w:instrText>2</w:instrText>
      </w:r>
      <w:r>
        <w:instrText>),</w:instrText>
      </w:r>
      <w:r>
        <w:rPr>
          <w:i/>
          <w:iCs/>
        </w:rPr>
        <w:instrText>r</w:instrText>
      </w:r>
      <w:r>
        <w:instrText>)) \b (</w:instrText>
      </w:r>
      <w:r>
        <w:instrText>−</w:instrText>
      </w:r>
      <w:r>
        <w:instrText xml:space="preserve"> \F(1,</w:instrText>
      </w:r>
      <w:r>
        <w:instrText>Γ</w:instrText>
      </w:r>
      <w:r>
        <w:instrText>\s\do6(</w:instrText>
      </w:r>
      <w:r>
        <w:rPr>
          <w:sz w:val="20"/>
          <w:szCs w:val="20"/>
        </w:rPr>
        <w:instrText>∞</w:instrText>
      </w:r>
      <w:r>
        <w:instrText>)) \F(</w:instrText>
      </w:r>
      <w:r>
        <w:rPr>
          <w:i/>
          <w:iCs/>
        </w:rPr>
        <w:instrText>d</w:instrText>
      </w:r>
      <w:r>
        <w:instrText>Γ</w:instrText>
      </w:r>
      <w:r>
        <w:instrText>\s\do6(</w:instrText>
      </w:r>
      <w:r>
        <w:rPr>
          <w:sz w:val="20"/>
          <w:szCs w:val="20"/>
        </w:rPr>
        <w:instrText>∞</w:instrText>
      </w:r>
      <w:r>
        <w:instrText>),</w:instrText>
      </w:r>
      <w:r>
        <w:rPr>
          <w:i/>
          <w:iCs/>
        </w:rPr>
        <w:instrText>dt</w:instrText>
      </w:r>
      <w:r>
        <w:instrText>))=0</w:instrText>
      </w:r>
      <w:r>
        <w:fldChar w:fldCharType="end"/>
      </w:r>
      <w:r>
        <w:tab/>
        <w:t>(</w:t>
      </w:r>
      <w:bookmarkStart w:id="14" w:name="BMeq_eddy_vis"/>
      <w:r>
        <w:t>14</w:t>
      </w:r>
      <w:bookmarkEnd w:id="14"/>
      <w:r>
        <w:t>)</w:t>
      </w:r>
    </w:p>
    <w:p w:rsidR="00000000" w:rsidRDefault="00B4505B">
      <w:r>
        <w:t>The solution to Eq. (</w:t>
      </w:r>
      <w:fldSimple w:instr="REF BMeq_eddy_vis \* MERGEFORMAT ">
        <w:r>
          <w:t>14</w:t>
        </w:r>
      </w:fldSimple>
      <w:r>
        <w:t xml:space="preserve">) is </w:t>
      </w:r>
    </w:p>
    <w:p w:rsidR="00000000" w:rsidRDefault="00B4505B">
      <w:pPr>
        <w:pStyle w:val="equationNum"/>
        <w:tabs>
          <w:tab w:val="center" w:pos="4336"/>
          <w:tab w:val="right" w:pos="8672"/>
        </w:tabs>
      </w:pPr>
      <w:r>
        <w:tab/>
      </w:r>
      <w:r>
        <w:fldChar w:fldCharType="begin"/>
      </w:r>
      <w:r>
        <w:instrText xml:space="preserve"> EQ </w:instrText>
      </w:r>
      <w:r>
        <w:instrText>ν</w:instrText>
      </w:r>
      <w:r>
        <w:instrText>\s\do6(</w:instrText>
      </w:r>
      <w:r>
        <w:rPr>
          <w:i/>
          <w:iCs/>
          <w:sz w:val="20"/>
          <w:szCs w:val="20"/>
        </w:rPr>
        <w:instrText>t</w:instrText>
      </w:r>
      <w:r>
        <w:instrText>)(</w:instrText>
      </w:r>
      <w:r>
        <w:rPr>
          <w:i/>
          <w:iCs/>
        </w:rPr>
        <w:instrText>r</w:instrText>
      </w:r>
      <w:r>
        <w:instrText>\,</w:instrText>
      </w:r>
      <w:r>
        <w:rPr>
          <w:i/>
          <w:iCs/>
        </w:rPr>
        <w:instrText>t</w:instrText>
      </w:r>
      <w:r>
        <w:instrText>)= \F(1,4) \</w:instrText>
      </w:r>
      <w:r>
        <w:instrText>b ( \F(</w:instrText>
      </w:r>
      <w:r>
        <w:rPr>
          <w:i/>
          <w:iCs/>
        </w:rPr>
        <w:instrText>R</w:instrText>
      </w:r>
      <w:r>
        <w:instrText>\s\up6(</w:instrText>
      </w:r>
      <w:r>
        <w:rPr>
          <w:sz w:val="20"/>
          <w:szCs w:val="20"/>
        </w:rPr>
        <w:instrText>2</w:instrText>
      </w:r>
      <w:r>
        <w:instrText>),</w:instrText>
      </w:r>
      <w:r>
        <w:instrText>τ</w:instrText>
      </w:r>
      <w:r>
        <w:instrText>)) \F( \b \bc\[ (1+(</w:instrText>
      </w:r>
      <w:r>
        <w:rPr>
          <w:i/>
          <w:iCs/>
        </w:rPr>
        <w:instrText>r</w:instrText>
      </w:r>
      <w:r>
        <w:instrText>/</w:instrText>
      </w:r>
      <w:r>
        <w:rPr>
          <w:i/>
          <w:iCs/>
        </w:rPr>
        <w:instrText>R</w:instrText>
      </w:r>
      <w:r>
        <w:instrText>)\s\up6(</w:instrText>
      </w:r>
      <w:r>
        <w:rPr>
          <w:sz w:val="20"/>
          <w:szCs w:val="20"/>
        </w:rPr>
        <w:instrText>2</w:instrText>
      </w:r>
      <w:r>
        <w:instrText>))\s\up17(</w:instrText>
      </w:r>
      <w:r>
        <w:rPr>
          <w:sz w:val="20"/>
          <w:szCs w:val="20"/>
        </w:rPr>
        <w:instrText>2</w:instrText>
      </w:r>
      <w:r>
        <w:instrText>),(</w:instrText>
      </w:r>
      <w:r>
        <w:rPr>
          <w:i/>
          <w:iCs/>
        </w:rPr>
        <w:instrText>r</w:instrText>
      </w:r>
      <w:r>
        <w:instrText>/</w:instrText>
      </w:r>
      <w:r>
        <w:rPr>
          <w:i/>
          <w:iCs/>
        </w:rPr>
        <w:instrText>R</w:instrText>
      </w:r>
      <w:r>
        <w:instrText>)\s\up6(</w:instrText>
      </w:r>
      <w:r>
        <w:rPr>
          <w:sz w:val="20"/>
          <w:szCs w:val="20"/>
        </w:rPr>
        <w:instrText>4</w:instrText>
      </w:r>
      <w:r>
        <w:instrText>)) \b \bc\{ ( \b ( \F(</w:instrText>
      </w:r>
      <w:r>
        <w:rPr>
          <w:i/>
          <w:iCs/>
        </w:rPr>
        <w:instrText>r</w:instrText>
      </w:r>
      <w:r>
        <w:instrText>,</w:instrText>
      </w:r>
      <w:r>
        <w:rPr>
          <w:i/>
          <w:iCs/>
        </w:rPr>
        <w:instrText>R</w:instrText>
      </w:r>
      <w:r>
        <w:instrText>))\s\up17(</w:instrText>
      </w:r>
      <w:r>
        <w:rPr>
          <w:sz w:val="20"/>
          <w:szCs w:val="20"/>
        </w:rPr>
        <w:instrText>2</w:instrText>
      </w:r>
      <w:r>
        <w:instrText>)</w:instrText>
      </w:r>
      <w:r>
        <w:instrText>−</w:instrText>
      </w:r>
      <w:r>
        <w:instrText>ln \b \bc\[ (1+ \b ( \F(</w:instrText>
      </w:r>
      <w:r>
        <w:rPr>
          <w:i/>
          <w:iCs/>
        </w:rPr>
        <w:instrText>r</w:instrText>
      </w:r>
      <w:r>
        <w:instrText>,</w:instrText>
      </w:r>
      <w:r>
        <w:rPr>
          <w:i/>
          <w:iCs/>
        </w:rPr>
        <w:instrText>R</w:instrText>
      </w:r>
      <w:r>
        <w:instrText>))\s\up17(</w:instrText>
      </w:r>
      <w:r>
        <w:rPr>
          <w:sz w:val="20"/>
          <w:szCs w:val="20"/>
        </w:rPr>
        <w:instrText>2</w:instrText>
      </w:r>
      <w:r>
        <w:instrText>))) \b (</w:instrText>
      </w:r>
      <w:r>
        <w:instrText>−</w:instrText>
      </w:r>
      <w:r>
        <w:instrText xml:space="preserve"> \F(</w:instrText>
      </w:r>
      <w:r>
        <w:instrText>τ</w:instrText>
      </w:r>
      <w:r>
        <w:instrText>,</w:instrText>
      </w:r>
      <w:r>
        <w:instrText>Γ</w:instrText>
      </w:r>
      <w:r>
        <w:instrText>\s\do6(</w:instrText>
      </w:r>
      <w:r>
        <w:rPr>
          <w:sz w:val="20"/>
          <w:szCs w:val="20"/>
        </w:rPr>
        <w:instrText>∞</w:instrText>
      </w:r>
      <w:r>
        <w:instrText>)) \F(</w:instrText>
      </w:r>
      <w:r>
        <w:rPr>
          <w:i/>
          <w:iCs/>
        </w:rPr>
        <w:instrText>d</w:instrText>
      </w:r>
      <w:r>
        <w:instrText>Γ</w:instrText>
      </w:r>
      <w:r>
        <w:instrText>\s\do6(</w:instrText>
      </w:r>
      <w:r>
        <w:rPr>
          <w:sz w:val="20"/>
          <w:szCs w:val="20"/>
        </w:rPr>
        <w:instrText>∞</w:instrText>
      </w:r>
      <w:r>
        <w:instrText>),</w:instrText>
      </w:r>
      <w:r>
        <w:rPr>
          <w:i/>
          <w:iCs/>
        </w:rPr>
        <w:instrText>dt</w:instrText>
      </w:r>
      <w:r>
        <w:instrText>))</w:instrText>
      </w:r>
      <w:r>
        <w:fldChar w:fldCharType="end"/>
      </w:r>
      <w:r>
        <w:tab/>
        <w:t>(</w:t>
      </w:r>
      <w:bookmarkStart w:id="15" w:name="BMeq_vt_sol"/>
      <w:r>
        <w:t>15</w:t>
      </w:r>
      <w:bookmarkEnd w:id="15"/>
      <w:r>
        <w:t>)</w:t>
      </w:r>
    </w:p>
    <w:p w:rsidR="00000000" w:rsidRDefault="00B4505B">
      <w:r>
        <w:t>where the meaning of the pa</w:t>
      </w:r>
      <w:r>
        <w:t xml:space="preserve">rameter </w:t>
      </w:r>
      <w:r>
        <w:t>τ</w:t>
      </w:r>
      <w:r>
        <w:t xml:space="preserve"> will become apparent in a moment. The above solution is interesting in that it takes the form of the product between a universal function of </w:t>
      </w:r>
      <w:r>
        <w:rPr>
          <w:i/>
          <w:iCs/>
        </w:rPr>
        <w:t>r</w:t>
      </w:r>
      <w:r>
        <w:t xml:space="preserve"> and a scaling function of time, with the latter being related to the circulation decay. For short to in</w:t>
      </w:r>
      <w:r>
        <w:t xml:space="preserve">termediate times, the circulation decay is well-described by the linear decay law </w:t>
      </w:r>
    </w:p>
    <w:p w:rsidR="00000000" w:rsidRDefault="00B4505B">
      <w:pPr>
        <w:pStyle w:val="equationNum"/>
        <w:tabs>
          <w:tab w:val="center" w:pos="4336"/>
          <w:tab w:val="right" w:pos="8672"/>
        </w:tabs>
      </w:pPr>
      <w:r>
        <w:tab/>
      </w:r>
      <w:r>
        <w:fldChar w:fldCharType="begin"/>
      </w:r>
      <w:r>
        <w:instrText xml:space="preserve"> EQ </w:instrText>
      </w:r>
      <w:r>
        <w:instrText>Γ</w:instrText>
      </w:r>
      <w:r>
        <w:instrText>\s\do6(</w:instrText>
      </w:r>
      <w:r>
        <w:rPr>
          <w:sz w:val="20"/>
          <w:szCs w:val="20"/>
        </w:rPr>
        <w:instrText>∞</w:instrText>
      </w:r>
      <w:r>
        <w:instrText>)(</w:instrText>
      </w:r>
      <w:r>
        <w:rPr>
          <w:i/>
          <w:iCs/>
        </w:rPr>
        <w:instrText>t</w:instrText>
      </w:r>
      <w:r>
        <w:instrText>)=</w:instrText>
      </w:r>
      <w:r>
        <w:instrText>Γ</w:instrText>
      </w:r>
      <w:r>
        <w:instrText>\s\up(</w:instrText>
      </w:r>
      <w:r>
        <w:rPr>
          <w:sz w:val="20"/>
          <w:szCs w:val="20"/>
        </w:rPr>
        <w:instrText>0,</w:instrText>
      </w:r>
      <w:r>
        <w:rPr>
          <w:sz w:val="20"/>
          <w:szCs w:val="20"/>
        </w:rPr>
        <w:instrText>∞</w:instrText>
      </w:r>
      <w:r>
        <w:instrText>)(1</w:instrText>
      </w:r>
      <w:r>
        <w:instrText>−</w:instrText>
      </w:r>
      <w:r>
        <w:rPr>
          <w:i/>
          <w:iCs/>
        </w:rPr>
        <w:instrText>t</w:instrText>
      </w:r>
      <w:r>
        <w:instrText>/</w:instrText>
      </w:r>
      <w:r>
        <w:instrText>τ</w:instrText>
      </w:r>
      <w:r>
        <w:instrText xml:space="preserve">);      </w:instrText>
      </w:r>
      <w:r>
        <w:rPr>
          <w:i/>
          <w:iCs/>
        </w:rPr>
        <w:instrText>t</w:instrText>
      </w:r>
      <w:r>
        <w:instrText>≤</w:instrText>
      </w:r>
      <w:r>
        <w:rPr>
          <w:i/>
          <w:iCs/>
        </w:rPr>
        <w:instrText>t</w:instrText>
      </w:r>
      <w:r>
        <w:instrText>\s\do6(</w:instrText>
      </w:r>
      <w:r>
        <w:rPr>
          <w:i/>
          <w:iCs/>
          <w:sz w:val="20"/>
          <w:szCs w:val="20"/>
        </w:rPr>
        <w:instrText>s</w:instrText>
      </w:r>
      <w:r>
        <w:instrText>)</w:instrText>
      </w:r>
      <w:r>
        <w:fldChar w:fldCharType="end"/>
      </w:r>
      <w:r>
        <w:tab/>
        <w:t>(</w:t>
      </w:r>
      <w:bookmarkStart w:id="16" w:name="BMeq_lin_decay"/>
      <w:r>
        <w:t>16</w:t>
      </w:r>
      <w:bookmarkEnd w:id="16"/>
      <w:r>
        <w:t>)</w:t>
      </w:r>
    </w:p>
    <w:p w:rsidR="00000000" w:rsidRDefault="00B4505B">
      <w:r>
        <w:t xml:space="preserve">where </w:t>
      </w:r>
      <w:r>
        <w:fldChar w:fldCharType="begin"/>
      </w:r>
      <w:r>
        <w:instrText xml:space="preserve"> EQ </w:instrText>
      </w:r>
      <w:r>
        <w:instrText>Γ</w:instrText>
      </w:r>
      <w:r>
        <w:instrText>\s\up(</w:instrText>
      </w:r>
      <w:r>
        <w:rPr>
          <w:sz w:val="20"/>
          <w:szCs w:val="20"/>
        </w:rPr>
        <w:instrText>0,</w:instrText>
      </w:r>
      <w:r>
        <w:rPr>
          <w:sz w:val="20"/>
          <w:szCs w:val="20"/>
        </w:rPr>
        <w:instrText>∞</w:instrText>
      </w:r>
      <w:r>
        <w:instrText>)</w:instrText>
      </w:r>
      <w:r>
        <w:fldChar w:fldCharType="end"/>
      </w:r>
      <w:r>
        <w:t xml:space="preserve"> is the initial circulation and </w:t>
      </w:r>
      <w:r>
        <w:t>τ</w:t>
      </w:r>
      <w:r>
        <w:t xml:space="preserve"> is the time required to </w:t>
      </w:r>
      <w:r>
        <w:t xml:space="preserve">drive the circulation to zero. The linear decay is typically valid up to 3-4 non-dimensional time units, </w:t>
      </w:r>
      <w:r>
        <w:fldChar w:fldCharType="begin"/>
      </w:r>
      <w:r>
        <w:instrText xml:space="preserve"> EQ </w:instrText>
      </w:r>
      <w:r>
        <w:rPr>
          <w:i/>
          <w:iCs/>
        </w:rPr>
        <w:instrText>t</w:instrText>
      </w:r>
      <w:r>
        <w:instrText>\s\up(</w:instrText>
      </w:r>
      <w:r>
        <w:rPr>
          <w:sz w:val="20"/>
          <w:szCs w:val="20"/>
        </w:rPr>
        <w:instrText>*,</w:instrText>
      </w:r>
      <w:r>
        <w:rPr>
          <w:i/>
          <w:iCs/>
          <w:sz w:val="20"/>
          <w:szCs w:val="20"/>
        </w:rPr>
        <w:instrText>s</w:instrText>
      </w:r>
      <w:r>
        <w:instrText>)=</w:instrText>
      </w:r>
      <w:r>
        <w:rPr>
          <w:i/>
          <w:iCs/>
        </w:rPr>
        <w:instrText>w</w:instrText>
      </w:r>
      <w:r>
        <w:instrText>\s\do6(</w:instrText>
      </w:r>
      <w:r>
        <w:rPr>
          <w:sz w:val="20"/>
          <w:szCs w:val="20"/>
        </w:rPr>
        <w:instrText>0</w:instrText>
      </w:r>
      <w:r>
        <w:instrText>)</w:instrText>
      </w:r>
      <w:r>
        <w:rPr>
          <w:i/>
          <w:iCs/>
        </w:rPr>
        <w:instrText>t</w:instrText>
      </w:r>
      <w:r>
        <w:instrText>\s\do6(</w:instrText>
      </w:r>
      <w:r>
        <w:rPr>
          <w:i/>
          <w:iCs/>
          <w:sz w:val="20"/>
          <w:szCs w:val="20"/>
        </w:rPr>
        <w:instrText>s</w:instrText>
      </w:r>
      <w:r>
        <w:instrText>)/</w:instrText>
      </w:r>
      <w:r>
        <w:rPr>
          <w:i/>
          <w:iCs/>
        </w:rPr>
        <w:instrText>b</w:instrText>
      </w:r>
      <w:r>
        <w:instrText>\s\do6(</w:instrText>
      </w:r>
      <w:r>
        <w:rPr>
          <w:sz w:val="20"/>
          <w:szCs w:val="20"/>
        </w:rPr>
        <w:instrText>0</w:instrText>
      </w:r>
      <w:r>
        <w:instrText>)</w:instrText>
      </w:r>
      <w:r>
        <w:fldChar w:fldCharType="end"/>
      </w:r>
      <w:r>
        <w:t xml:space="preserve">, where </w:t>
      </w:r>
      <w:r>
        <w:fldChar w:fldCharType="begin"/>
      </w:r>
      <w:r>
        <w:instrText xml:space="preserve"> EQ </w:instrText>
      </w:r>
      <w:r>
        <w:rPr>
          <w:i/>
          <w:iCs/>
        </w:rPr>
        <w:instrText>w</w:instrText>
      </w:r>
      <w:r>
        <w:instrText>\s\do6(</w:instrText>
      </w:r>
      <w:r>
        <w:rPr>
          <w:sz w:val="20"/>
          <w:szCs w:val="20"/>
        </w:rPr>
        <w:instrText>0</w:instrText>
      </w:r>
      <w:r>
        <w:instrText>)=</w:instrText>
      </w:r>
      <w:r>
        <w:instrText>Γ</w:instrText>
      </w:r>
      <w:r>
        <w:instrText>\s\up(</w:instrText>
      </w:r>
      <w:r>
        <w:rPr>
          <w:sz w:val="20"/>
          <w:szCs w:val="20"/>
        </w:rPr>
        <w:instrText>0,</w:instrText>
      </w:r>
      <w:r>
        <w:rPr>
          <w:sz w:val="20"/>
          <w:szCs w:val="20"/>
        </w:rPr>
        <w:instrText>∞</w:instrText>
      </w:r>
      <w:r>
        <w:instrText>)/(2</w:instrText>
      </w:r>
      <w:r>
        <w:instrText>π</w:instrText>
      </w:r>
      <w:r>
        <w:rPr>
          <w:i/>
          <w:iCs/>
        </w:rPr>
        <w:instrText>b</w:instrText>
      </w:r>
      <w:r>
        <w:instrText>\s\do6(</w:instrText>
      </w:r>
      <w:r>
        <w:rPr>
          <w:sz w:val="20"/>
          <w:szCs w:val="20"/>
        </w:rPr>
        <w:instrText>0</w:instrText>
      </w:r>
      <w:r>
        <w:instrText>))</w:instrText>
      </w:r>
      <w:r>
        <w:fldChar w:fldCharType="end"/>
      </w:r>
      <w:r>
        <w:t xml:space="preserve"> is the initial vortex descent velocity. For reference, </w:t>
      </w:r>
      <w:r>
        <w:fldChar w:fldCharType="begin"/>
      </w:r>
      <w:r>
        <w:instrText xml:space="preserve"> EQ </w:instrText>
      </w:r>
      <w:r>
        <w:instrText>τ</w:instrText>
      </w:r>
      <w:r>
        <w:rPr>
          <w:rFonts w:ascii="Cambria Math" w:hAnsi="Cambria Math" w:cs="Cambria Math"/>
        </w:rPr>
        <w:instrText>≃</w:instrText>
      </w:r>
      <w:r>
        <w:instrText>10</w:instrText>
      </w:r>
      <w:r>
        <w:rPr>
          <w:i/>
          <w:iCs/>
        </w:rPr>
        <w:instrText>b</w:instrText>
      </w:r>
      <w:r>
        <w:instrText>\s\do6(</w:instrText>
      </w:r>
      <w:r>
        <w:rPr>
          <w:sz w:val="20"/>
          <w:szCs w:val="20"/>
        </w:rPr>
        <w:instrText>0</w:instrText>
      </w:r>
      <w:r>
        <w:instrText>)/</w:instrText>
      </w:r>
      <w:r>
        <w:rPr>
          <w:i/>
          <w:iCs/>
        </w:rPr>
        <w:instrText>w</w:instrText>
      </w:r>
      <w:r>
        <w:instrText>\s\do6(</w:instrText>
      </w:r>
      <w:r>
        <w:rPr>
          <w:sz w:val="20"/>
          <w:szCs w:val="20"/>
        </w:rPr>
        <w:instrText>0</w:instrText>
      </w:r>
      <w:r>
        <w:instrText>)</w:instrText>
      </w:r>
      <w:r>
        <w:fldChar w:fldCharType="end"/>
      </w:r>
      <w:r>
        <w:t>.</w:t>
      </w:r>
    </w:p>
    <w:p w:rsidR="00000000" w:rsidRDefault="00B4505B">
      <w:pPr>
        <w:ind w:firstLine="360"/>
      </w:pPr>
      <w:r>
        <w:t xml:space="preserve">The linear circulation decay law results in the following time scaling function </w:t>
      </w:r>
    </w:p>
    <w:p w:rsidR="00000000" w:rsidRDefault="00B4505B">
      <w:pPr>
        <w:pStyle w:val="equationNum"/>
        <w:tabs>
          <w:tab w:val="center" w:pos="4336"/>
          <w:tab w:val="right" w:pos="8672"/>
        </w:tabs>
      </w:pPr>
      <w:r>
        <w:tab/>
      </w:r>
      <w:r>
        <w:fldChar w:fldCharType="begin"/>
      </w:r>
      <w:r>
        <w:instrText xml:space="preserve"> EQ  \b (</w:instrText>
      </w:r>
      <w:r>
        <w:instrText>−</w:instrText>
      </w:r>
      <w:r>
        <w:instrText xml:space="preserve"> \F(</w:instrText>
      </w:r>
      <w:r>
        <w:instrText>τ</w:instrText>
      </w:r>
      <w:r>
        <w:instrText>,</w:instrText>
      </w:r>
      <w:r>
        <w:instrText>Γ</w:instrText>
      </w:r>
      <w:r>
        <w:instrText>\s\do6(</w:instrText>
      </w:r>
      <w:r>
        <w:rPr>
          <w:sz w:val="20"/>
          <w:szCs w:val="20"/>
        </w:rPr>
        <w:instrText>∞</w:instrText>
      </w:r>
      <w:r>
        <w:instrText>)) \F(</w:instrText>
      </w:r>
      <w:r>
        <w:rPr>
          <w:i/>
          <w:iCs/>
        </w:rPr>
        <w:instrText>d</w:instrText>
      </w:r>
      <w:r>
        <w:instrText>Γ</w:instrText>
      </w:r>
      <w:r>
        <w:instrText>\s\do6(</w:instrText>
      </w:r>
      <w:r>
        <w:rPr>
          <w:sz w:val="20"/>
          <w:szCs w:val="20"/>
        </w:rPr>
        <w:instrText>∞</w:instrText>
      </w:r>
      <w:r>
        <w:instrText>),</w:instrText>
      </w:r>
      <w:r>
        <w:rPr>
          <w:i/>
          <w:iCs/>
        </w:rPr>
        <w:instrText>dt</w:instrText>
      </w:r>
      <w:r>
        <w:instrText>))= \F(1,1</w:instrText>
      </w:r>
      <w:r>
        <w:instrText>−</w:instrText>
      </w:r>
      <w:r>
        <w:rPr>
          <w:i/>
          <w:iCs/>
        </w:rPr>
        <w:instrText>t</w:instrText>
      </w:r>
      <w:r>
        <w:instrText>/</w:instrText>
      </w:r>
      <w:r>
        <w:instrText>τ</w:instrText>
      </w:r>
      <w:r>
        <w:instrText xml:space="preserve">);      </w:instrText>
      </w:r>
      <w:r>
        <w:rPr>
          <w:i/>
          <w:iCs/>
        </w:rPr>
        <w:instrText>t</w:instrText>
      </w:r>
      <w:r>
        <w:instrText>≤</w:instrText>
      </w:r>
      <w:r>
        <w:rPr>
          <w:i/>
          <w:iCs/>
        </w:rPr>
        <w:instrText>t</w:instrText>
      </w:r>
      <w:r>
        <w:instrText>\s\do6(</w:instrText>
      </w:r>
      <w:r>
        <w:rPr>
          <w:i/>
          <w:iCs/>
          <w:sz w:val="20"/>
          <w:szCs w:val="20"/>
        </w:rPr>
        <w:instrText>s</w:instrText>
      </w:r>
      <w:r>
        <w:instrText>)</w:instrText>
      </w:r>
      <w:r>
        <w:fldChar w:fldCharType="end"/>
      </w:r>
      <w:r>
        <w:tab/>
        <w:t>(</w:t>
      </w:r>
      <w:bookmarkStart w:id="17" w:name="BMeq_lin_scale_fac"/>
      <w:r>
        <w:t>17</w:t>
      </w:r>
      <w:bookmarkEnd w:id="17"/>
      <w:r>
        <w:t>)</w:t>
      </w:r>
    </w:p>
    <w:p w:rsidR="00000000" w:rsidRDefault="00B4505B">
      <w:r>
        <w:t xml:space="preserve">This is an increasing function of time that diverges when </w:t>
      </w:r>
      <w:r>
        <w:rPr>
          <w:i/>
          <w:iCs/>
        </w:rPr>
        <w:t>t</w:t>
      </w:r>
      <w:r>
        <w:t>=</w:t>
      </w:r>
      <w:r>
        <w:t>τ</w:t>
      </w:r>
      <w:r>
        <w:t xml:space="preserve"> (which is well beyond the range of validity for the linear decay model). For small to moderate times, the growth in the scaling function is modest, maximizi</w:t>
      </w:r>
      <w:r>
        <w:t xml:space="preserve">ng at 1.67 times the initial value when </w:t>
      </w:r>
      <w:r>
        <w:fldChar w:fldCharType="begin"/>
      </w:r>
      <w:r>
        <w:instrText xml:space="preserve"> EQ </w:instrText>
      </w:r>
      <w:r>
        <w:rPr>
          <w:i/>
          <w:iCs/>
        </w:rPr>
        <w:instrText>t</w:instrText>
      </w:r>
      <w:r>
        <w:instrText>\s\up6(</w:instrText>
      </w:r>
      <w:r>
        <w:rPr>
          <w:sz w:val="20"/>
          <w:szCs w:val="20"/>
        </w:rPr>
        <w:instrText>*</w:instrText>
      </w:r>
      <w:r>
        <w:instrText>)=4</w:instrText>
      </w:r>
      <w:r>
        <w:fldChar w:fldCharType="end"/>
      </w:r>
      <w:r>
        <w:t>. Thus the analytic model predicts a slight growth in the eddy viscosity for small to intermediate times. This is plausible since the turbulence is becoming established during this time period.</w:t>
      </w:r>
    </w:p>
    <w:p w:rsidR="00000000" w:rsidRDefault="00B4505B">
      <w:pPr>
        <w:ind w:firstLine="360"/>
      </w:pPr>
      <w:r>
        <w:t xml:space="preserve">For </w:t>
      </w:r>
      <w:r>
        <w:t xml:space="preserve">later times it is reasonable to expect that the eddy viscosity transitions first to a time-independent steady state, and then perhaps a decaying final state. A steady-state eddy viscosity requires an exponential circulation decay of the form </w:t>
      </w:r>
    </w:p>
    <w:p w:rsidR="00000000" w:rsidRDefault="00B4505B">
      <w:pPr>
        <w:pStyle w:val="equationNum"/>
        <w:tabs>
          <w:tab w:val="center" w:pos="4336"/>
          <w:tab w:val="right" w:pos="8672"/>
        </w:tabs>
      </w:pPr>
      <w:r>
        <w:lastRenderedPageBreak/>
        <w:tab/>
      </w:r>
      <w:r>
        <w:fldChar w:fldCharType="begin"/>
      </w:r>
      <w:r>
        <w:instrText xml:space="preserve"> EQ </w:instrText>
      </w:r>
      <w:r>
        <w:instrText>Γ</w:instrText>
      </w:r>
      <w:r>
        <w:instrText>\s\do6(</w:instrText>
      </w:r>
      <w:r>
        <w:rPr>
          <w:sz w:val="20"/>
          <w:szCs w:val="20"/>
        </w:rPr>
        <w:instrText>∞</w:instrText>
      </w:r>
      <w:r>
        <w:instrText>)(</w:instrText>
      </w:r>
      <w:r>
        <w:rPr>
          <w:i/>
          <w:iCs/>
        </w:rPr>
        <w:instrText>t</w:instrText>
      </w:r>
      <w:r>
        <w:instrText>)=</w:instrText>
      </w:r>
      <w:r>
        <w:instrText>Γ</w:instrText>
      </w:r>
      <w:r>
        <w:instrText>\s\up(</w:instrText>
      </w:r>
      <w:r>
        <w:rPr>
          <w:sz w:val="20"/>
          <w:szCs w:val="20"/>
        </w:rPr>
        <w:instrText>0,</w:instrText>
      </w:r>
      <w:r>
        <w:rPr>
          <w:sz w:val="20"/>
          <w:szCs w:val="20"/>
        </w:rPr>
        <w:instrText>∞</w:instrText>
      </w:r>
      <w:r>
        <w:instrText>)(1</w:instrText>
      </w:r>
      <w:r>
        <w:instrText>−</w:instrText>
      </w:r>
      <w:r>
        <w:rPr>
          <w:i/>
          <w:iCs/>
        </w:rPr>
        <w:instrText>t</w:instrText>
      </w:r>
      <w:r>
        <w:instrText>\s\do6(</w:instrText>
      </w:r>
      <w:r>
        <w:rPr>
          <w:i/>
          <w:iCs/>
          <w:sz w:val="20"/>
          <w:szCs w:val="20"/>
        </w:rPr>
        <w:instrText>s</w:instrText>
      </w:r>
      <w:r>
        <w:instrText>)/</w:instrText>
      </w:r>
      <w:r>
        <w:instrText>τ</w:instrText>
      </w:r>
      <w:r>
        <w:instrText>)exp \b \bc\[ ( \F(</w:instrText>
      </w:r>
      <w:r>
        <w:rPr>
          <w:i/>
          <w:iCs/>
        </w:rPr>
        <w:instrText>t</w:instrText>
      </w:r>
      <w:r>
        <w:instrText>−</w:instrText>
      </w:r>
      <w:r>
        <w:rPr>
          <w:i/>
          <w:iCs/>
        </w:rPr>
        <w:instrText>t</w:instrText>
      </w:r>
      <w:r>
        <w:instrText>\s\do6(</w:instrText>
      </w:r>
      <w:r>
        <w:rPr>
          <w:i/>
          <w:iCs/>
          <w:sz w:val="20"/>
          <w:szCs w:val="20"/>
        </w:rPr>
        <w:instrText>s</w:instrText>
      </w:r>
      <w:r>
        <w:instrText>),</w:instrText>
      </w:r>
      <w:r>
        <w:instrText>τ−</w:instrText>
      </w:r>
      <w:r>
        <w:rPr>
          <w:i/>
          <w:iCs/>
        </w:rPr>
        <w:instrText>t</w:instrText>
      </w:r>
      <w:r>
        <w:instrText>\s\do6(</w:instrText>
      </w:r>
      <w:r>
        <w:rPr>
          <w:i/>
          <w:iCs/>
          <w:sz w:val="20"/>
          <w:szCs w:val="20"/>
        </w:rPr>
        <w:instrText>s</w:instrText>
      </w:r>
      <w:r>
        <w:instrText xml:space="preserve">)));      </w:instrText>
      </w:r>
      <w:r>
        <w:rPr>
          <w:i/>
          <w:iCs/>
        </w:rPr>
        <w:instrText>t</w:instrText>
      </w:r>
      <w:r>
        <w:instrText>&gt;</w:instrText>
      </w:r>
      <w:r>
        <w:rPr>
          <w:i/>
          <w:iCs/>
        </w:rPr>
        <w:instrText>t</w:instrText>
      </w:r>
      <w:r>
        <w:instrText>\s\do6(</w:instrText>
      </w:r>
      <w:r>
        <w:rPr>
          <w:i/>
          <w:iCs/>
          <w:sz w:val="20"/>
          <w:szCs w:val="20"/>
        </w:rPr>
        <w:instrText>s</w:instrText>
      </w:r>
      <w:r>
        <w:instrText>)</w:instrText>
      </w:r>
      <w:r>
        <w:fldChar w:fldCharType="end"/>
      </w:r>
      <w:r>
        <w:tab/>
        <w:t>(</w:t>
      </w:r>
      <w:bookmarkStart w:id="18" w:name="BMeq_exp_decay"/>
      <w:r>
        <w:t>18</w:t>
      </w:r>
      <w:bookmarkEnd w:id="18"/>
      <w:r>
        <w:t>)</w:t>
      </w:r>
    </w:p>
    <w:p w:rsidR="00000000" w:rsidRDefault="00B4505B">
      <w:r>
        <w:t xml:space="preserve">This function is constructed such that the value and slope match the linear decay law at </w:t>
      </w:r>
      <w:r>
        <w:fldChar w:fldCharType="begin"/>
      </w:r>
      <w:r>
        <w:instrText xml:space="preserve"> EQ </w:instrText>
      </w:r>
      <w:r>
        <w:rPr>
          <w:i/>
          <w:iCs/>
        </w:rPr>
        <w:instrText>t</w:instrText>
      </w:r>
      <w:r>
        <w:instrText>=</w:instrText>
      </w:r>
      <w:r>
        <w:rPr>
          <w:i/>
          <w:iCs/>
        </w:rPr>
        <w:instrText>t</w:instrText>
      </w:r>
      <w:r>
        <w:instrText>\s\do6(</w:instrText>
      </w:r>
      <w:r>
        <w:rPr>
          <w:i/>
          <w:iCs/>
          <w:sz w:val="20"/>
          <w:szCs w:val="20"/>
        </w:rPr>
        <w:instrText>s</w:instrText>
      </w:r>
      <w:r>
        <w:instrText>)</w:instrText>
      </w:r>
      <w:r>
        <w:fldChar w:fldCharType="end"/>
      </w:r>
      <w:r>
        <w:t xml:space="preserve">. To summarize, </w:t>
      </w:r>
      <w:r>
        <w:t xml:space="preserve">we consider the following composite circulation history </w:t>
      </w:r>
    </w:p>
    <w:p w:rsidR="00000000" w:rsidRDefault="00B4505B">
      <w:pPr>
        <w:pStyle w:val="equationNum"/>
        <w:tabs>
          <w:tab w:val="center" w:pos="4336"/>
          <w:tab w:val="right" w:pos="8672"/>
        </w:tabs>
      </w:pPr>
      <w:r>
        <w:tab/>
      </w:r>
      <w:r>
        <w:fldChar w:fldCharType="begin"/>
      </w:r>
      <w:r>
        <w:instrText xml:space="preserve"> EQ </w:instrText>
      </w:r>
      <w:r>
        <w:instrText>Γ</w:instrText>
      </w:r>
      <w:r>
        <w:instrText>\s\do6(</w:instrText>
      </w:r>
      <w:r>
        <w:rPr>
          <w:sz w:val="20"/>
          <w:szCs w:val="20"/>
        </w:rPr>
        <w:instrText>∞</w:instrText>
      </w:r>
      <w:r>
        <w:instrText>)(</w:instrText>
      </w:r>
      <w:r>
        <w:rPr>
          <w:i/>
          <w:iCs/>
        </w:rPr>
        <w:instrText>t</w:instrText>
      </w:r>
      <w:r>
        <w:instrText>)= \b \lc\{ ( \a \al \co2 (</w:instrText>
      </w:r>
      <w:r>
        <w:instrText>Γ</w:instrText>
      </w:r>
      <w:r>
        <w:instrText>\s\up(</w:instrText>
      </w:r>
      <w:r>
        <w:rPr>
          <w:sz w:val="20"/>
          <w:szCs w:val="20"/>
        </w:rPr>
        <w:instrText>0,</w:instrText>
      </w:r>
      <w:r>
        <w:rPr>
          <w:sz w:val="20"/>
          <w:szCs w:val="20"/>
        </w:rPr>
        <w:instrText>∞</w:instrText>
      </w:r>
      <w:r>
        <w:instrText>)(1</w:instrText>
      </w:r>
      <w:r>
        <w:instrText>−</w:instrText>
      </w:r>
      <w:r>
        <w:rPr>
          <w:i/>
          <w:iCs/>
        </w:rPr>
        <w:instrText>t</w:instrText>
      </w:r>
      <w:r>
        <w:instrText>/</w:instrText>
      </w:r>
      <w:r>
        <w:instrText>τ</w:instrText>
      </w:r>
      <w:r>
        <w:instrText>),0</w:instrText>
      </w:r>
      <w:r>
        <w:instrText>≤</w:instrText>
      </w:r>
      <w:r>
        <w:rPr>
          <w:i/>
          <w:iCs/>
        </w:rPr>
        <w:instrText>t</w:instrText>
      </w:r>
      <w:r>
        <w:instrText>≤</w:instrText>
      </w:r>
      <w:r>
        <w:rPr>
          <w:i/>
          <w:iCs/>
        </w:rPr>
        <w:instrText>t</w:instrText>
      </w:r>
      <w:r>
        <w:instrText>\s\do6(</w:instrText>
      </w:r>
      <w:r>
        <w:rPr>
          <w:i/>
          <w:iCs/>
          <w:sz w:val="20"/>
          <w:szCs w:val="20"/>
        </w:rPr>
        <w:instrText>s</w:instrText>
      </w:r>
      <w:r>
        <w:instrText>),</w:instrText>
      </w:r>
      <w:r>
        <w:instrText>Γ</w:instrText>
      </w:r>
      <w:r>
        <w:instrText>\s\up(</w:instrText>
      </w:r>
      <w:r>
        <w:rPr>
          <w:sz w:val="20"/>
          <w:szCs w:val="20"/>
        </w:rPr>
        <w:instrText>0,</w:instrText>
      </w:r>
      <w:r>
        <w:rPr>
          <w:sz w:val="20"/>
          <w:szCs w:val="20"/>
        </w:rPr>
        <w:instrText>∞</w:instrText>
      </w:r>
      <w:r>
        <w:instrText>)(1</w:instrText>
      </w:r>
      <w:r>
        <w:instrText>−</w:instrText>
      </w:r>
      <w:r>
        <w:rPr>
          <w:i/>
          <w:iCs/>
        </w:rPr>
        <w:instrText>t</w:instrText>
      </w:r>
      <w:r>
        <w:instrText>\s\do6(</w:instrText>
      </w:r>
      <w:r>
        <w:rPr>
          <w:i/>
          <w:iCs/>
          <w:sz w:val="20"/>
          <w:szCs w:val="20"/>
        </w:rPr>
        <w:instrText>s</w:instrText>
      </w:r>
      <w:r>
        <w:instrText>)/</w:instrText>
      </w:r>
      <w:r>
        <w:instrText>τ</w:instrText>
      </w:r>
      <w:r>
        <w:instrText>)exp \b \bc\[ ( \F(</w:instrText>
      </w:r>
      <w:r>
        <w:rPr>
          <w:i/>
          <w:iCs/>
        </w:rPr>
        <w:instrText>t</w:instrText>
      </w:r>
      <w:r>
        <w:instrText>−</w:instrText>
      </w:r>
      <w:r>
        <w:rPr>
          <w:i/>
          <w:iCs/>
        </w:rPr>
        <w:instrText>t</w:instrText>
      </w:r>
      <w:r>
        <w:instrText>\s\do6(</w:instrText>
      </w:r>
      <w:r>
        <w:rPr>
          <w:i/>
          <w:iCs/>
          <w:sz w:val="20"/>
          <w:szCs w:val="20"/>
        </w:rPr>
        <w:instrText>s</w:instrText>
      </w:r>
      <w:r>
        <w:instrText>),</w:instrText>
      </w:r>
      <w:r>
        <w:instrText>τ−</w:instrText>
      </w:r>
      <w:r>
        <w:rPr>
          <w:i/>
          <w:iCs/>
        </w:rPr>
        <w:instrText>t</w:instrText>
      </w:r>
      <w:r>
        <w:instrText>\s\do6(</w:instrText>
      </w:r>
      <w:r>
        <w:rPr>
          <w:i/>
          <w:iCs/>
          <w:sz w:val="20"/>
          <w:szCs w:val="20"/>
        </w:rPr>
        <w:instrText>s</w:instrText>
      </w:r>
      <w:r>
        <w:instrText>))),</w:instrText>
      </w:r>
      <w:r>
        <w:rPr>
          <w:i/>
          <w:iCs/>
        </w:rPr>
        <w:instrText>t</w:instrText>
      </w:r>
      <w:r>
        <w:instrText>&gt;</w:instrText>
      </w:r>
      <w:r>
        <w:rPr>
          <w:i/>
          <w:iCs/>
        </w:rPr>
        <w:instrText>t</w:instrText>
      </w:r>
      <w:r>
        <w:instrText>\s\do6(</w:instrText>
      </w:r>
      <w:r>
        <w:rPr>
          <w:i/>
          <w:iCs/>
          <w:sz w:val="20"/>
          <w:szCs w:val="20"/>
        </w:rPr>
        <w:instrText>s</w:instrText>
      </w:r>
      <w:r>
        <w:instrText>)))</w:instrText>
      </w:r>
      <w:r>
        <w:fldChar w:fldCharType="end"/>
      </w:r>
      <w:r>
        <w:tab/>
        <w:t>(</w:t>
      </w:r>
      <w:bookmarkStart w:id="19" w:name="BMeq_composite_decay"/>
      <w:r>
        <w:t>19</w:t>
      </w:r>
      <w:bookmarkEnd w:id="19"/>
      <w:r>
        <w:t>)</w:t>
      </w:r>
    </w:p>
    <w:p w:rsidR="00000000" w:rsidRDefault="00B4505B">
      <w:r>
        <w:t xml:space="preserve">which gives rise to the following composite time scaling functions </w:t>
      </w:r>
    </w:p>
    <w:p w:rsidR="00000000" w:rsidRDefault="00B4505B">
      <w:pPr>
        <w:pStyle w:val="equationNum"/>
        <w:tabs>
          <w:tab w:val="center" w:pos="4336"/>
          <w:tab w:val="right" w:pos="8672"/>
        </w:tabs>
      </w:pPr>
      <w:r>
        <w:tab/>
      </w:r>
      <w:r>
        <w:fldChar w:fldCharType="begin"/>
      </w:r>
      <w:r>
        <w:instrText xml:space="preserve"> EQ </w:instrText>
      </w:r>
      <w:r>
        <w:instrText>−</w:instrText>
      </w:r>
      <w:r>
        <w:instrText xml:space="preserve"> \F(</w:instrText>
      </w:r>
      <w:r>
        <w:instrText>τ</w:instrText>
      </w:r>
      <w:r>
        <w:instrText>,</w:instrText>
      </w:r>
      <w:r>
        <w:instrText>Γ</w:instrText>
      </w:r>
      <w:r>
        <w:instrText>\s\do6(</w:instrText>
      </w:r>
      <w:r>
        <w:rPr>
          <w:sz w:val="20"/>
          <w:szCs w:val="20"/>
        </w:rPr>
        <w:instrText>∞</w:instrText>
      </w:r>
      <w:r>
        <w:instrText>)) \F(</w:instrText>
      </w:r>
      <w:r>
        <w:rPr>
          <w:i/>
          <w:iCs/>
        </w:rPr>
        <w:instrText>d</w:instrText>
      </w:r>
      <w:r>
        <w:instrText>Γ</w:instrText>
      </w:r>
      <w:r>
        <w:instrText>\s\do6(</w:instrText>
      </w:r>
      <w:r>
        <w:rPr>
          <w:sz w:val="20"/>
          <w:szCs w:val="20"/>
        </w:rPr>
        <w:instrText>∞</w:instrText>
      </w:r>
      <w:r>
        <w:instrText>),</w:instrText>
      </w:r>
      <w:r>
        <w:rPr>
          <w:i/>
          <w:iCs/>
        </w:rPr>
        <w:instrText>dt</w:instrText>
      </w:r>
      <w:r>
        <w:instrText>)= \b \lc\{ ( \a \al \co2 ( \F(1,1</w:instrText>
      </w:r>
      <w:r>
        <w:instrText>−</w:instrText>
      </w:r>
      <w:r>
        <w:rPr>
          <w:i/>
          <w:iCs/>
        </w:rPr>
        <w:instrText>t</w:instrText>
      </w:r>
      <w:r>
        <w:instrText>/</w:instrText>
      </w:r>
      <w:r>
        <w:instrText>τ</w:instrText>
      </w:r>
      <w:r>
        <w:instrText>),0</w:instrText>
      </w:r>
      <w:r>
        <w:instrText>≤</w:instrText>
      </w:r>
      <w:r>
        <w:rPr>
          <w:i/>
          <w:iCs/>
        </w:rPr>
        <w:instrText>t</w:instrText>
      </w:r>
      <w:r>
        <w:instrText>≤</w:instrText>
      </w:r>
      <w:r>
        <w:rPr>
          <w:i/>
          <w:iCs/>
        </w:rPr>
        <w:instrText>t</w:instrText>
      </w:r>
      <w:r>
        <w:instrText>\s\do6(</w:instrText>
      </w:r>
      <w:r>
        <w:rPr>
          <w:i/>
          <w:iCs/>
          <w:sz w:val="20"/>
          <w:szCs w:val="20"/>
        </w:rPr>
        <w:instrText>s</w:instrText>
      </w:r>
      <w:r>
        <w:instrText>), \F(1,1</w:instrText>
      </w:r>
      <w:r>
        <w:instrText>−</w:instrText>
      </w:r>
      <w:r>
        <w:rPr>
          <w:i/>
          <w:iCs/>
        </w:rPr>
        <w:instrText>t</w:instrText>
      </w:r>
      <w:r>
        <w:instrText>\s\do6(</w:instrText>
      </w:r>
      <w:r>
        <w:rPr>
          <w:i/>
          <w:iCs/>
          <w:sz w:val="20"/>
          <w:szCs w:val="20"/>
        </w:rPr>
        <w:instrText>s</w:instrText>
      </w:r>
      <w:r>
        <w:instrText>)/</w:instrText>
      </w:r>
      <w:r>
        <w:instrText>τ</w:instrText>
      </w:r>
      <w:r>
        <w:instrText>),</w:instrText>
      </w:r>
      <w:r>
        <w:rPr>
          <w:i/>
          <w:iCs/>
        </w:rPr>
        <w:instrText>t</w:instrText>
      </w:r>
      <w:r>
        <w:instrText>&gt;</w:instrText>
      </w:r>
      <w:r>
        <w:rPr>
          <w:i/>
          <w:iCs/>
        </w:rPr>
        <w:instrText>t</w:instrText>
      </w:r>
      <w:r>
        <w:instrText>\s\do6(</w:instrText>
      </w:r>
      <w:r>
        <w:rPr>
          <w:i/>
          <w:iCs/>
          <w:sz w:val="20"/>
          <w:szCs w:val="20"/>
        </w:rPr>
        <w:instrText>s</w:instrText>
      </w:r>
      <w:r>
        <w:instrText>)))</w:instrText>
      </w:r>
      <w:r>
        <w:fldChar w:fldCharType="end"/>
      </w:r>
      <w:r>
        <w:tab/>
        <w:t>(</w:t>
      </w:r>
      <w:bookmarkStart w:id="20" w:name="BMeq_decay_rate"/>
      <w:r>
        <w:t>20</w:t>
      </w:r>
      <w:bookmarkEnd w:id="20"/>
      <w:r>
        <w:t>)</w:t>
      </w:r>
    </w:p>
    <w:p w:rsidR="00000000" w:rsidRDefault="00B4505B">
      <w:pPr>
        <w:ind w:firstLine="360"/>
      </w:pPr>
      <w:r>
        <w:t xml:space="preserve">The universal function of </w:t>
      </w:r>
      <w:r>
        <w:rPr>
          <w:i/>
          <w:iCs/>
        </w:rPr>
        <w:t>r</w:t>
      </w:r>
      <w:r>
        <w:t xml:space="preserve"> in Eq. (</w:t>
      </w:r>
      <w:fldSimple w:instr="REF BMeq_vt_sol \* MERGEFORMAT ">
        <w:r>
          <w:t>15</w:t>
        </w:r>
      </w:fldSimple>
      <w:r>
        <w:t xml:space="preserve">) is somewhat complicated in form. The behavior of this function is much more readily apparent if the following matched asymptotic approximation is used </w:t>
      </w:r>
    </w:p>
    <w:p w:rsidR="00000000" w:rsidRDefault="00B4505B">
      <w:pPr>
        <w:pStyle w:val="equationNum"/>
        <w:tabs>
          <w:tab w:val="center" w:pos="4336"/>
          <w:tab w:val="right" w:pos="8672"/>
        </w:tabs>
      </w:pPr>
      <w:r>
        <w:tab/>
      </w:r>
      <w:r>
        <w:fldChar w:fldCharType="begin"/>
      </w:r>
      <w:r>
        <w:instrText xml:space="preserve"> EQ  \F( \b \bc\[ (1+(</w:instrText>
      </w:r>
      <w:r>
        <w:rPr>
          <w:i/>
          <w:iCs/>
        </w:rPr>
        <w:instrText>r</w:instrText>
      </w:r>
      <w:r>
        <w:instrText>/</w:instrText>
      </w:r>
      <w:r>
        <w:rPr>
          <w:i/>
          <w:iCs/>
        </w:rPr>
        <w:instrText>R</w:instrText>
      </w:r>
      <w:r>
        <w:instrText>)\s\up6(</w:instrText>
      </w:r>
      <w:r>
        <w:rPr>
          <w:sz w:val="20"/>
          <w:szCs w:val="20"/>
        </w:rPr>
        <w:instrText>2</w:instrText>
      </w:r>
      <w:r>
        <w:instrText>))\s\up17(</w:instrText>
      </w:r>
      <w:r>
        <w:rPr>
          <w:sz w:val="20"/>
          <w:szCs w:val="20"/>
        </w:rPr>
        <w:instrText>2</w:instrText>
      </w:r>
      <w:r>
        <w:instrText>),(</w:instrText>
      </w:r>
      <w:r>
        <w:rPr>
          <w:i/>
          <w:iCs/>
        </w:rPr>
        <w:instrText>r</w:instrText>
      </w:r>
      <w:r>
        <w:instrText>/</w:instrText>
      </w:r>
      <w:r>
        <w:rPr>
          <w:i/>
          <w:iCs/>
        </w:rPr>
        <w:instrText>R</w:instrText>
      </w:r>
      <w:r>
        <w:instrText>)\s\up6(</w:instrText>
      </w:r>
      <w:r>
        <w:rPr>
          <w:sz w:val="20"/>
          <w:szCs w:val="20"/>
        </w:rPr>
        <w:instrText>4</w:instrText>
      </w:r>
      <w:r>
        <w:instrText>)) \b \bc\{ ( \b ( \F(</w:instrText>
      </w:r>
      <w:r>
        <w:rPr>
          <w:i/>
          <w:iCs/>
        </w:rPr>
        <w:instrText>r</w:instrText>
      </w:r>
      <w:r>
        <w:instrText>,</w:instrText>
      </w:r>
      <w:r>
        <w:rPr>
          <w:i/>
          <w:iCs/>
        </w:rPr>
        <w:instrText>R</w:instrText>
      </w:r>
      <w:r>
        <w:instrText>))\s\up17(</w:instrText>
      </w:r>
      <w:r>
        <w:rPr>
          <w:sz w:val="20"/>
          <w:szCs w:val="20"/>
        </w:rPr>
        <w:instrText>2</w:instrText>
      </w:r>
      <w:r>
        <w:instrText>)</w:instrText>
      </w:r>
      <w:r>
        <w:instrText>−</w:instrText>
      </w:r>
      <w:r>
        <w:instrText>ln \b \bc\[ (1+ \b ( \F(</w:instrText>
      </w:r>
      <w:r>
        <w:rPr>
          <w:i/>
          <w:iCs/>
        </w:rPr>
        <w:instrText>r</w:instrText>
      </w:r>
      <w:r>
        <w:instrText>,</w:instrText>
      </w:r>
      <w:r>
        <w:rPr>
          <w:i/>
          <w:iCs/>
        </w:rPr>
        <w:instrText>R</w:instrText>
      </w:r>
      <w:r>
        <w:instrText>))\s\up17(</w:instrText>
      </w:r>
      <w:r>
        <w:rPr>
          <w:sz w:val="20"/>
          <w:szCs w:val="20"/>
        </w:rPr>
        <w:instrText>2</w:instrText>
      </w:r>
      <w:r>
        <w:instrText>)))</w:instrText>
      </w:r>
      <w:r>
        <w:rPr>
          <w:sz w:val="18"/>
          <w:szCs w:val="18"/>
        </w:rPr>
        <w:instrText xml:space="preserve">  </w:instrText>
      </w:r>
      <w:r>
        <w:rPr>
          <w:rFonts w:ascii="Cambria Math" w:hAnsi="Cambria Math" w:cs="Cambria Math"/>
        </w:rPr>
        <w:instrText>≃</w:instrText>
      </w:r>
      <w:r>
        <w:rPr>
          <w:sz w:val="18"/>
          <w:szCs w:val="18"/>
        </w:rPr>
        <w:instrText xml:space="preserve">  </w:instrText>
      </w:r>
      <w:r>
        <w:instrText xml:space="preserve"> \b \bc\[ ( \F(1,2)+</w:instrText>
      </w:r>
      <w:r>
        <w:instrText>α</w:instrText>
      </w:r>
      <w:r>
        <w:instrText xml:space="preserve"> \b ( \F(</w:instrText>
      </w:r>
      <w:r>
        <w:rPr>
          <w:i/>
          <w:iCs/>
        </w:rPr>
        <w:instrText>r</w:instrText>
      </w:r>
      <w:r>
        <w:instrText>,</w:instrText>
      </w:r>
      <w:r>
        <w:rPr>
          <w:i/>
          <w:iCs/>
        </w:rPr>
        <w:instrText>R</w:instrText>
      </w:r>
      <w:r>
        <w:instrText>))\s\up17(</w:instrText>
      </w:r>
      <w:r>
        <w:rPr>
          <w:sz w:val="20"/>
          <w:szCs w:val="20"/>
        </w:rPr>
        <w:instrText>2</w:instrText>
      </w:r>
      <w:r>
        <w:instrText xml:space="preserve">));      </w:instrText>
      </w:r>
      <w:r>
        <w:instrText>α</w:instrText>
      </w:r>
      <w:r>
        <w:instrText>=1</w:instrText>
      </w:r>
      <w:r>
        <w:fldChar w:fldCharType="end"/>
      </w:r>
      <w:r>
        <w:tab/>
        <w:t>(</w:t>
      </w:r>
      <w:bookmarkStart w:id="21" w:name="BMeq_approx"/>
      <w:r>
        <w:t>21</w:t>
      </w:r>
      <w:bookmarkEnd w:id="21"/>
      <w:r>
        <w:t>)</w:t>
      </w:r>
    </w:p>
    <w:p w:rsidR="00000000" w:rsidRDefault="00B4505B">
      <w:r>
        <w:t xml:space="preserve">This approximation is exact in both limits </w:t>
      </w:r>
      <w:r>
        <w:fldChar w:fldCharType="begin"/>
      </w:r>
      <w:r>
        <w:instrText xml:space="preserve"> EQ </w:instrText>
      </w:r>
      <w:r>
        <w:rPr>
          <w:i/>
          <w:iCs/>
        </w:rPr>
        <w:instrText>r</w:instrText>
      </w:r>
      <w:r>
        <w:instrText>→</w:instrText>
      </w:r>
      <w:r>
        <w:instrText>0</w:instrText>
      </w:r>
      <w:r>
        <w:fldChar w:fldCharType="end"/>
      </w:r>
      <w:r>
        <w:t xml:space="preserve"> and </w:t>
      </w:r>
      <w:r>
        <w:fldChar w:fldCharType="begin"/>
      </w:r>
      <w:r>
        <w:instrText xml:space="preserve"> EQ </w:instrText>
      </w:r>
      <w:r>
        <w:rPr>
          <w:i/>
          <w:iCs/>
        </w:rPr>
        <w:instrText>r</w:instrText>
      </w:r>
      <w:r>
        <w:instrText>→∞</w:instrText>
      </w:r>
      <w:r>
        <w:fldChar w:fldCharType="end"/>
      </w:r>
      <w:r>
        <w:t xml:space="preserve"> and is a fairly good approximation in between. Its accuracy at intermediate </w:t>
      </w:r>
      <w:r>
        <w:rPr>
          <w:i/>
          <w:iCs/>
        </w:rPr>
        <w:t>r</w:t>
      </w:r>
      <w:r>
        <w:t xml:space="preserve"> can be increased at the expense of some asymptotic error at </w:t>
      </w:r>
      <w:r>
        <w:fldChar w:fldCharType="begin"/>
      </w:r>
      <w:r>
        <w:instrText xml:space="preserve"> EQ </w:instrText>
      </w:r>
      <w:r>
        <w:rPr>
          <w:i/>
          <w:iCs/>
        </w:rPr>
        <w:instrText>r</w:instrText>
      </w:r>
      <w:r>
        <w:instrText>→∞</w:instrText>
      </w:r>
      <w:r>
        <w:fldChar w:fldCharType="end"/>
      </w:r>
      <w:r>
        <w:t xml:space="preserve"> by taking the parameter </w:t>
      </w:r>
      <w:r>
        <w:t>α</w:t>
      </w:r>
      <w:r>
        <w:t xml:space="preserve"> away from 1 slightly. Figure </w:t>
      </w:r>
      <w:fldSimple w:instr="REF BMfig_approx \* MERGEFORMAT ">
        <w:r>
          <w:t>2</w:t>
        </w:r>
      </w:fldSimple>
      <w:r>
        <w:t xml:space="preserve"> </w:t>
      </w:r>
      <w:r>
        <w:t xml:space="preserve">shows a comparison of the exact and approximate solutions for </w:t>
      </w:r>
      <w:r>
        <w:t>α</w:t>
      </w:r>
      <w:r>
        <w:t xml:space="preserve">=0.975, </w:t>
      </w:r>
      <w:r>
        <w:fldChar w:fldCharType="begin"/>
      </w:r>
      <w:r>
        <w:instrText xml:space="preserve"> EQ </w:instrText>
      </w:r>
      <w:r>
        <w:instrText>Γ</w:instrText>
      </w:r>
      <w:r>
        <w:instrText>\s\up(</w:instrText>
      </w:r>
      <w:r>
        <w:rPr>
          <w:sz w:val="20"/>
          <w:szCs w:val="20"/>
        </w:rPr>
        <w:instrText>0,</w:instrText>
      </w:r>
      <w:r>
        <w:rPr>
          <w:sz w:val="20"/>
          <w:szCs w:val="20"/>
        </w:rPr>
        <w:instrText>∞</w:instrText>
      </w:r>
      <w:r>
        <w:instrText>)=600 </w:instrText>
      </w:r>
      <w:r>
        <w:rPr>
          <w:i/>
          <w:iCs/>
        </w:rPr>
        <w:instrText>m</w:instrText>
      </w:r>
      <w:r>
        <w:instrText>\s\up6(</w:instrText>
      </w:r>
      <w:r>
        <w:rPr>
          <w:sz w:val="20"/>
          <w:szCs w:val="20"/>
        </w:rPr>
        <w:instrText>2</w:instrText>
      </w:r>
      <w:r>
        <w:instrText>)/</w:instrText>
      </w:r>
      <w:r>
        <w:rPr>
          <w:i/>
          <w:iCs/>
        </w:rPr>
        <w:instrText>s</w:instrText>
      </w:r>
      <w:r>
        <w:fldChar w:fldCharType="end"/>
      </w:r>
      <w:r>
        <w:t xml:space="preserve">, </w:t>
      </w:r>
      <w:r>
        <w:fldChar w:fldCharType="begin"/>
      </w:r>
      <w:r>
        <w:instrText xml:space="preserve"> EQ </w:instrText>
      </w:r>
      <w:r>
        <w:rPr>
          <w:i/>
          <w:iCs/>
        </w:rPr>
        <w:instrText>b</w:instrText>
      </w:r>
      <w:r>
        <w:instrText>\s\do6(</w:instrText>
      </w:r>
      <w:r>
        <w:rPr>
          <w:sz w:val="20"/>
          <w:szCs w:val="20"/>
        </w:rPr>
        <w:instrText>0</w:instrText>
      </w:r>
      <w:r>
        <w:instrText>)=45.5 </w:instrText>
      </w:r>
      <w:r>
        <w:rPr>
          <w:i/>
          <w:iCs/>
        </w:rPr>
        <w:instrText>m</w:instrText>
      </w:r>
      <w:r>
        <w:fldChar w:fldCharType="end"/>
      </w:r>
      <w:r>
        <w:t xml:space="preserve">, </w:t>
      </w:r>
      <w:r>
        <w:fldChar w:fldCharType="begin"/>
      </w:r>
      <w:r>
        <w:instrText xml:space="preserve"> EQ </w:instrText>
      </w:r>
      <w:r>
        <w:instrText>τ</w:instrText>
      </w:r>
      <w:r>
        <w:instrText>=10</w:instrText>
      </w:r>
      <w:r>
        <w:rPr>
          <w:i/>
          <w:iCs/>
        </w:rPr>
        <w:instrText>b</w:instrText>
      </w:r>
      <w:r>
        <w:instrText>\s\do6(</w:instrText>
      </w:r>
      <w:r>
        <w:rPr>
          <w:sz w:val="20"/>
          <w:szCs w:val="20"/>
        </w:rPr>
        <w:instrText>0</w:instrText>
      </w:r>
      <w:r>
        <w:instrText>)/</w:instrText>
      </w:r>
      <w:r>
        <w:rPr>
          <w:i/>
          <w:iCs/>
        </w:rPr>
        <w:instrText>v</w:instrText>
      </w:r>
      <w:r>
        <w:instrText>\s\do6(</w:instrText>
      </w:r>
      <w:r>
        <w:rPr>
          <w:sz w:val="20"/>
          <w:szCs w:val="20"/>
        </w:rPr>
        <w:instrText>0</w:instrText>
      </w:r>
      <w:r>
        <w:instrText>)</w:instrText>
      </w:r>
      <w:r>
        <w:fldChar w:fldCharType="end"/>
      </w:r>
      <w:r>
        <w:t xml:space="preserve">, </w:t>
      </w:r>
      <w:r>
        <w:rPr>
          <w:i/>
          <w:iCs/>
        </w:rPr>
        <w:t>t</w:t>
      </w:r>
      <w:r>
        <w:t xml:space="preserve">=0, and standard atmospheric conditions. </w:t>
      </w:r>
    </w:p>
    <w:p w:rsidR="00000000" w:rsidRDefault="00B4505B">
      <w:pPr>
        <w:pStyle w:val="Figure"/>
        <w:spacing w:before="240"/>
        <w:ind w:firstLine="360"/>
        <w:rPr>
          <w:sz w:val="24"/>
          <w:szCs w:val="24"/>
        </w:rPr>
      </w:pPr>
    </w:p>
    <w:p w:rsidR="00000000" w:rsidRDefault="00B4505B">
      <w:pPr>
        <w:pStyle w:val="centerpar"/>
        <w:ind w:firstLine="360"/>
      </w:pPr>
      <w:r>
        <w:drawing>
          <wp:inline distT="0" distB="0" distL="0" distR="0">
            <wp:extent cx="4114800" cy="28829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114800" cy="2882900"/>
                    </a:xfrm>
                    <a:prstGeom prst="rect">
                      <a:avLst/>
                    </a:prstGeom>
                    <a:noFill/>
                    <a:ln w="9525">
                      <a:noFill/>
                      <a:miter lim="800000"/>
                      <a:headEnd/>
                      <a:tailEnd/>
                    </a:ln>
                  </pic:spPr>
                </pic:pic>
              </a:graphicData>
            </a:graphic>
          </wp:inline>
        </w:drawing>
      </w:r>
      <w:r>
        <w:t xml:space="preserve"> </w:t>
      </w:r>
    </w:p>
    <w:p w:rsidR="00000000" w:rsidRDefault="00B4505B">
      <w:pPr>
        <w:pStyle w:val="Caption"/>
      </w:pPr>
      <w:r>
        <w:lastRenderedPageBreak/>
        <w:t xml:space="preserve">Figure </w:t>
      </w:r>
      <w:bookmarkStart w:id="22" w:name="BMfig_approx"/>
      <w:r>
        <w:t>2</w:t>
      </w:r>
      <w:bookmarkEnd w:id="22"/>
      <w:r>
        <w:t xml:space="preserve">: Comparison of the exact and approximate solutions for the eddy viscosity radial dependence. The eddy viscosity is normalized by the molecular viscosity. The solutions were generated for </w:t>
      </w:r>
      <w:r>
        <w:fldChar w:fldCharType="begin"/>
      </w:r>
      <w:r>
        <w:instrText xml:space="preserve"> EQ </w:instrText>
      </w:r>
      <w:r>
        <w:instrText>Γ</w:instrText>
      </w:r>
      <w:r>
        <w:instrText>\s\do6(</w:instrText>
      </w:r>
      <w:r>
        <w:rPr>
          <w:sz w:val="20"/>
          <w:szCs w:val="20"/>
        </w:rPr>
        <w:instrText>∞</w:instrText>
      </w:r>
      <w:r>
        <w:instrText>)=600 </w:instrText>
      </w:r>
      <w:r>
        <w:rPr>
          <w:i/>
          <w:iCs/>
        </w:rPr>
        <w:instrText>m</w:instrText>
      </w:r>
      <w:r>
        <w:instrText>\s\up6(</w:instrText>
      </w:r>
      <w:r>
        <w:rPr>
          <w:sz w:val="20"/>
          <w:szCs w:val="20"/>
        </w:rPr>
        <w:instrText>2</w:instrText>
      </w:r>
      <w:r>
        <w:instrText>)/</w:instrText>
      </w:r>
      <w:r>
        <w:rPr>
          <w:i/>
          <w:iCs/>
        </w:rPr>
        <w:instrText>s</w:instrText>
      </w:r>
      <w:r>
        <w:fldChar w:fldCharType="end"/>
      </w:r>
      <w:r>
        <w:t xml:space="preserve">, </w:t>
      </w:r>
      <w:r>
        <w:fldChar w:fldCharType="begin"/>
      </w:r>
      <w:r>
        <w:instrText xml:space="preserve"> EQ </w:instrText>
      </w:r>
      <w:r>
        <w:rPr>
          <w:i/>
          <w:iCs/>
        </w:rPr>
        <w:instrText>b</w:instrText>
      </w:r>
      <w:r>
        <w:instrText>\s\do</w:instrText>
      </w:r>
      <w:r>
        <w:instrText>6(</w:instrText>
      </w:r>
      <w:r>
        <w:rPr>
          <w:sz w:val="20"/>
          <w:szCs w:val="20"/>
        </w:rPr>
        <w:instrText>0</w:instrText>
      </w:r>
      <w:r>
        <w:instrText>)=45.5 </w:instrText>
      </w:r>
      <w:r>
        <w:rPr>
          <w:i/>
          <w:iCs/>
        </w:rPr>
        <w:instrText>m</w:instrText>
      </w:r>
      <w:r>
        <w:fldChar w:fldCharType="end"/>
      </w:r>
      <w:r>
        <w:t xml:space="preserve"> and standard atmospheric conditions.</w:t>
      </w:r>
      <w:r>
        <w:fldChar w:fldCharType="begin"/>
      </w:r>
      <w:r>
        <w:instrText xml:space="preserve">TC "2 Comparison of the exact and approximate solutions for the eddy viscosity radial dependence. The eddy viscosity is normalized by the molecular viscosity. The solutions were generated for </w:instrText>
      </w:r>
      <w:r>
        <w:fldChar w:fldCharType="begin"/>
      </w:r>
      <w:r>
        <w:instrText xml:space="preserve"> EQ </w:instrText>
      </w:r>
      <w:r>
        <w:instrText>Γ</w:instrText>
      </w:r>
      <w:r>
        <w:instrText>\s\do6(</w:instrText>
      </w:r>
      <w:r>
        <w:rPr>
          <w:sz w:val="20"/>
          <w:szCs w:val="20"/>
        </w:rPr>
        <w:instrText>∞</w:instrText>
      </w:r>
      <w:r>
        <w:instrText>)</w:instrText>
      </w:r>
      <w:r>
        <w:instrText>=600 </w:instrText>
      </w:r>
      <w:r>
        <w:rPr>
          <w:i/>
          <w:iCs/>
        </w:rPr>
        <w:instrText>m</w:instrText>
      </w:r>
      <w:r>
        <w:instrText>\s\up6(</w:instrText>
      </w:r>
      <w:r>
        <w:rPr>
          <w:sz w:val="20"/>
          <w:szCs w:val="20"/>
        </w:rPr>
        <w:instrText>2</w:instrText>
      </w:r>
      <w:r>
        <w:instrText>)/</w:instrText>
      </w:r>
      <w:r>
        <w:rPr>
          <w:i/>
          <w:iCs/>
        </w:rPr>
        <w:instrText>s</w:instrText>
      </w:r>
      <w:r>
        <w:fldChar w:fldCharType="end"/>
      </w:r>
      <w:r>
        <w:instrText xml:space="preserve">, </w:instrText>
      </w:r>
      <w:r>
        <w:fldChar w:fldCharType="begin"/>
      </w:r>
      <w:r>
        <w:instrText xml:space="preserve"> EQ </w:instrText>
      </w:r>
      <w:r>
        <w:rPr>
          <w:i/>
          <w:iCs/>
        </w:rPr>
        <w:instrText>b</w:instrText>
      </w:r>
      <w:r>
        <w:instrText>\s\do6(</w:instrText>
      </w:r>
      <w:r>
        <w:rPr>
          <w:sz w:val="20"/>
          <w:szCs w:val="20"/>
        </w:rPr>
        <w:instrText>0</w:instrText>
      </w:r>
      <w:r>
        <w:instrText>)=45.5 </w:instrText>
      </w:r>
      <w:r>
        <w:rPr>
          <w:i/>
          <w:iCs/>
        </w:rPr>
        <w:instrText>m</w:instrText>
      </w:r>
      <w:r>
        <w:fldChar w:fldCharType="end"/>
      </w:r>
      <w:r>
        <w:instrText xml:space="preserve"> and standard atmospheric conditions." \f f</w:instrText>
      </w:r>
      <w:r>
        <w:fldChar w:fldCharType="end"/>
      </w:r>
    </w:p>
    <w:p w:rsidR="00000000" w:rsidRDefault="00B4505B">
      <w:pPr>
        <w:spacing w:before="240"/>
        <w:ind w:firstLine="360"/>
      </w:pPr>
      <w:r>
        <w:t xml:space="preserve">As anticipated, the eddy viscosity is small at the origin and increases with radius (like </w:t>
      </w:r>
      <w:r>
        <w:fldChar w:fldCharType="begin"/>
      </w:r>
      <w:r>
        <w:instrText xml:space="preserve"> EQ </w:instrText>
      </w:r>
      <w:r>
        <w:rPr>
          <w:i/>
          <w:iCs/>
        </w:rPr>
        <w:instrText>r</w:instrText>
      </w:r>
      <w:r>
        <w:instrText>\s\up6(</w:instrText>
      </w:r>
      <w:r>
        <w:rPr>
          <w:sz w:val="20"/>
          <w:szCs w:val="20"/>
        </w:rPr>
        <w:instrText>2</w:instrText>
      </w:r>
      <w:r>
        <w:instrText>)</w:instrText>
      </w:r>
      <w:r>
        <w:fldChar w:fldCharType="end"/>
      </w:r>
      <w:r>
        <w:t>). This is consistent with the picture of weak turbulence within the core and increased turbulent transport outside of the core.</w:t>
      </w:r>
    </w:p>
    <w:p w:rsidR="00000000" w:rsidRDefault="00B4505B">
      <w:pPr>
        <w:pStyle w:val="Heading3"/>
        <w:widowControl/>
        <w:spacing w:before="120"/>
      </w:pPr>
      <w:r>
        <w:t>3.1  Extension of the Eddy Viscosity Distribution</w:t>
      </w:r>
    </w:p>
    <w:p w:rsidR="00000000" w:rsidRDefault="00B4505B">
      <w:pPr>
        <w:spacing w:before="60"/>
      </w:pPr>
      <w:r>
        <w:t>The analysis of the preceding section indicates that a physically-plausible e</w:t>
      </w:r>
      <w:r>
        <w:t>ddy viscosity distribution exists that will reproduce the experimentally-observed adherence to the Burnham-Hallock velocity profile with fixed core radius as the wing-tip vortices decay. One important limitation of this solution is that it is valid only wi</w:t>
      </w:r>
      <w:r>
        <w:t>thin a limited radial extent (up to  r/R=10 say) around each vortex. Thus, by itself, Eq. (</w:t>
      </w:r>
      <w:fldSimple w:instr="REF BMeq_vt_sol \* MERGEFORMAT ">
        <w:r>
          <w:t>15</w:t>
        </w:r>
      </w:fldSimple>
      <w:r>
        <w:t>) is not sufficient to produce a solution for the entire vortex wake flow field. In order to circumvent this difficulty, we exten</w:t>
      </w:r>
      <w:r>
        <w:t>d Eq. (</w:t>
      </w:r>
      <w:fldSimple w:instr="REF BMeq_vt_sol \* MERGEFORMAT ">
        <w:r>
          <w:t>15</w:t>
        </w:r>
      </w:fldSimple>
      <w:r>
        <w:t>) in a logical way for larger radii and also account for the interaction of the two vortices near the plane of symmetry between them.</w:t>
      </w:r>
    </w:p>
    <w:p w:rsidR="00000000" w:rsidRDefault="00B4505B">
      <w:pPr>
        <w:ind w:firstLine="360"/>
      </w:pPr>
      <w:r>
        <w:t xml:space="preserve">The first step in generalizing the eddy viscosity distribution is to recognize </w:t>
      </w:r>
      <w:r>
        <w:t xml:space="preserve">that the </w:t>
      </w:r>
      <w:r>
        <w:fldChar w:fldCharType="begin"/>
      </w:r>
      <w:r>
        <w:instrText xml:space="preserve"> EQ </w:instrText>
      </w:r>
      <w:r>
        <w:rPr>
          <w:i/>
          <w:iCs/>
        </w:rPr>
        <w:instrText>r</w:instrText>
      </w:r>
      <w:r>
        <w:instrText>\s\up6(</w:instrText>
      </w:r>
      <w:r>
        <w:rPr>
          <w:sz w:val="20"/>
          <w:szCs w:val="20"/>
        </w:rPr>
        <w:instrText>2</w:instrText>
      </w:r>
      <w:r>
        <w:instrText>)</w:instrText>
      </w:r>
      <w:r>
        <w:fldChar w:fldCharType="end"/>
      </w:r>
      <w:r>
        <w:t xml:space="preserve"> dependence predicted by Eq. (</w:t>
      </w:r>
      <w:fldSimple w:instr="REF BMeq_vt_sol \* MERGEFORMAT ">
        <w:r>
          <w:t>15</w:t>
        </w:r>
      </w:fldSimple>
      <w:r>
        <w:t xml:space="preserve">) at large </w:t>
      </w:r>
      <w:r>
        <w:rPr>
          <w:i/>
          <w:iCs/>
        </w:rPr>
        <w:t>r</w:t>
      </w:r>
      <w:r>
        <w:t xml:space="preserve"> must be modified significantly so that </w:t>
      </w:r>
      <w:r>
        <w:fldChar w:fldCharType="begin"/>
      </w:r>
      <w:r>
        <w:instrText xml:space="preserve"> EQ </w:instrText>
      </w:r>
      <w:r>
        <w:instrText>ν</w:instrText>
      </w:r>
      <w:r>
        <w:instrText>\s\do6(</w:instrText>
      </w:r>
      <w:r>
        <w:rPr>
          <w:i/>
          <w:iCs/>
          <w:sz w:val="20"/>
          <w:szCs w:val="20"/>
        </w:rPr>
        <w:instrText>t</w:instrText>
      </w:r>
      <w:r>
        <w:instrText>)</w:instrText>
      </w:r>
      <w:r>
        <w:instrText>→</w:instrText>
      </w:r>
      <w:r>
        <w:instrText>0</w:instrText>
      </w:r>
      <w:r>
        <w:fldChar w:fldCharType="end"/>
      </w:r>
      <w:r>
        <w:t xml:space="preserve"> as </w:t>
      </w:r>
      <w:r>
        <w:fldChar w:fldCharType="begin"/>
      </w:r>
      <w:r>
        <w:instrText xml:space="preserve"> EQ </w:instrText>
      </w:r>
      <w:r>
        <w:rPr>
          <w:i/>
          <w:iCs/>
        </w:rPr>
        <w:instrText>r</w:instrText>
      </w:r>
      <w:r>
        <w:instrText>→∞</w:instrText>
      </w:r>
      <w:r>
        <w:fldChar w:fldCharType="end"/>
      </w:r>
      <w:r>
        <w:t>. Although it is somewhat arbitrary, one way to achieve this goal is to multiply E</w:t>
      </w:r>
      <w:r>
        <w:t>q. (</w:t>
      </w:r>
      <w:fldSimple w:instr="REF BMeq_vt_sol \* MERGEFORMAT ">
        <w:r>
          <w:t>15</w:t>
        </w:r>
      </w:fldSimple>
      <w:r>
        <w:t xml:space="preserve">) by the following radial damping function </w:t>
      </w:r>
    </w:p>
    <w:p w:rsidR="00000000" w:rsidRDefault="00B4505B">
      <w:pPr>
        <w:pStyle w:val="equationNum"/>
        <w:tabs>
          <w:tab w:val="center" w:pos="4336"/>
          <w:tab w:val="right" w:pos="8672"/>
        </w:tabs>
      </w:pPr>
      <w:r>
        <w:tab/>
      </w:r>
      <w:r>
        <w:fldChar w:fldCharType="begin"/>
      </w:r>
      <w:r>
        <w:instrText xml:space="preserve"> EQ </w:instrText>
      </w:r>
      <w:r>
        <w:rPr>
          <w:i/>
          <w:iCs/>
        </w:rPr>
        <w:instrText>D</w:instrText>
      </w:r>
      <w:r>
        <w:instrText>(</w:instrText>
      </w:r>
      <w:r>
        <w:rPr>
          <w:i/>
          <w:iCs/>
        </w:rPr>
        <w:instrText>r</w:instrText>
      </w:r>
      <w:r>
        <w:instrText>)= \F(1,2) \b \bc\{ (1</w:instrText>
      </w:r>
      <w:r>
        <w:instrText>−</w:instrText>
      </w:r>
      <w:r>
        <w:instrText>tanh \b \bc\[ (2.5 \F((</w:instrText>
      </w:r>
      <w:r>
        <w:rPr>
          <w:i/>
          <w:iCs/>
        </w:rPr>
        <w:instrText>r</w:instrText>
      </w:r>
      <w:r>
        <w:instrText>−</w:instrText>
      </w:r>
      <w:r>
        <w:rPr>
          <w:i/>
          <w:iCs/>
        </w:rPr>
        <w:instrText>r</w:instrText>
      </w:r>
      <w:r>
        <w:instrText>\s\do6(</w:instrText>
      </w:r>
      <w:r>
        <w:rPr>
          <w:i/>
          <w:iCs/>
          <w:sz w:val="20"/>
          <w:szCs w:val="20"/>
        </w:rPr>
        <w:instrText>c</w:instrText>
      </w:r>
      <w:r>
        <w:instrText>)),</w:instrText>
      </w:r>
      <w:r>
        <w:rPr>
          <w:i/>
          <w:iCs/>
        </w:rPr>
        <w:instrText>d</w:instrText>
      </w:r>
      <w:r>
        <w:instrText>)))</w:instrText>
      </w:r>
      <w:r>
        <w:fldChar w:fldCharType="end"/>
      </w:r>
      <w:r>
        <w:tab/>
        <w:t>(</w:t>
      </w:r>
      <w:bookmarkStart w:id="23" w:name="BMeq_damping_fcn"/>
      <w:r>
        <w:t>22</w:t>
      </w:r>
      <w:bookmarkEnd w:id="23"/>
      <w:r>
        <w:t>)</w:t>
      </w:r>
    </w:p>
    <w:p w:rsidR="00000000" w:rsidRDefault="00B4505B">
      <w:r>
        <w:t xml:space="preserve">where </w:t>
      </w:r>
      <w:r>
        <w:fldChar w:fldCharType="begin"/>
      </w:r>
      <w:r>
        <w:instrText xml:space="preserve"> EQ </w:instrText>
      </w:r>
      <w:r>
        <w:rPr>
          <w:i/>
          <w:iCs/>
        </w:rPr>
        <w:instrText>r</w:instrText>
      </w:r>
      <w:r>
        <w:instrText>\s\do6(</w:instrText>
      </w:r>
      <w:r>
        <w:rPr>
          <w:i/>
          <w:iCs/>
          <w:sz w:val="20"/>
          <w:szCs w:val="20"/>
        </w:rPr>
        <w:instrText>c</w:instrText>
      </w:r>
      <w:r>
        <w:instrText>)</w:instrText>
      </w:r>
      <w:r>
        <w:fldChar w:fldCharType="end"/>
      </w:r>
      <w:r>
        <w:t xml:space="preserve"> is the centroid for the damping distr</w:t>
      </w:r>
      <w:r>
        <w:t xml:space="preserve">ibution and </w:t>
      </w:r>
      <w:r>
        <w:rPr>
          <w:i/>
          <w:iCs/>
        </w:rPr>
        <w:t>d</w:t>
      </w:r>
      <w:r>
        <w:t xml:space="preserve"> is a measure of its width. Values for these parameters were determined via an iterative process where trial values were used in somewhat coarse simulations of a B747 vortex pair evolution (as discussed in the following section). Too small a v</w:t>
      </w:r>
      <w:r>
        <w:t xml:space="preserve">alue for </w:t>
      </w:r>
      <w:r>
        <w:fldChar w:fldCharType="begin"/>
      </w:r>
      <w:r>
        <w:instrText xml:space="preserve"> EQ </w:instrText>
      </w:r>
      <w:r>
        <w:rPr>
          <w:i/>
          <w:iCs/>
        </w:rPr>
        <w:instrText>r</w:instrText>
      </w:r>
      <w:r>
        <w:instrText>\s\do6(</w:instrText>
      </w:r>
      <w:r>
        <w:rPr>
          <w:i/>
          <w:iCs/>
          <w:sz w:val="20"/>
          <w:szCs w:val="20"/>
        </w:rPr>
        <w:instrText>c</w:instrText>
      </w:r>
      <w:r>
        <w:instrText>)</w:instrText>
      </w:r>
      <w:r>
        <w:fldChar w:fldCharType="end"/>
      </w:r>
      <w:r>
        <w:t xml:space="preserve"> and/or too large a value for </w:t>
      </w:r>
      <w:r>
        <w:rPr>
          <w:i/>
          <w:iCs/>
        </w:rPr>
        <w:t>d</w:t>
      </w:r>
      <w:r>
        <w:t xml:space="preserve"> was found to result in deviations from the BH profile over its assumed range of validity. Similarly too large a value for </w:t>
      </w:r>
      <w:r>
        <w:fldChar w:fldCharType="begin"/>
      </w:r>
      <w:r>
        <w:instrText xml:space="preserve"> EQ </w:instrText>
      </w:r>
      <w:r>
        <w:rPr>
          <w:i/>
          <w:iCs/>
        </w:rPr>
        <w:instrText>r</w:instrText>
      </w:r>
      <w:r>
        <w:instrText>\s\do6(</w:instrText>
      </w:r>
      <w:r>
        <w:rPr>
          <w:i/>
          <w:iCs/>
          <w:sz w:val="20"/>
          <w:szCs w:val="20"/>
        </w:rPr>
        <w:instrText>c</w:instrText>
      </w:r>
      <w:r>
        <w:instrText>)</w:instrText>
      </w:r>
      <w:r>
        <w:fldChar w:fldCharType="end"/>
      </w:r>
      <w:r>
        <w:t xml:space="preserve"> and/or too small a value for </w:t>
      </w:r>
      <w:r>
        <w:rPr>
          <w:i/>
          <w:iCs/>
        </w:rPr>
        <w:t>d</w:t>
      </w:r>
      <w:r>
        <w:t xml:space="preserve"> was found to result in a vort</w:t>
      </w:r>
      <w:r>
        <w:t xml:space="preserve">ex descent rate that was not in acceptable agreement with the field measurements. The exploratory simulations yielded values of </w:t>
      </w:r>
      <w:r>
        <w:fldChar w:fldCharType="begin"/>
      </w:r>
      <w:r>
        <w:instrText xml:space="preserve"> EQ </w:instrText>
      </w:r>
      <w:r>
        <w:rPr>
          <w:i/>
          <w:iCs/>
        </w:rPr>
        <w:instrText>r</w:instrText>
      </w:r>
      <w:r>
        <w:instrText>\s\do6(</w:instrText>
      </w:r>
      <w:r>
        <w:rPr>
          <w:i/>
          <w:iCs/>
          <w:sz w:val="20"/>
          <w:szCs w:val="20"/>
        </w:rPr>
        <w:instrText>c</w:instrText>
      </w:r>
      <w:r>
        <w:instrText>)=</w:instrText>
      </w:r>
      <w:r>
        <w:rPr>
          <w:i/>
          <w:iCs/>
        </w:rPr>
        <w:instrText>b</w:instrText>
      </w:r>
      <w:r>
        <w:instrText>\s\do6(</w:instrText>
      </w:r>
      <w:r>
        <w:rPr>
          <w:sz w:val="20"/>
          <w:szCs w:val="20"/>
        </w:rPr>
        <w:instrText>0</w:instrText>
      </w:r>
      <w:r>
        <w:instrText>)</w:instrText>
      </w:r>
      <w:r>
        <w:fldChar w:fldCharType="end"/>
      </w:r>
      <w:r>
        <w:t xml:space="preserve">, </w:t>
      </w:r>
      <w:r>
        <w:fldChar w:fldCharType="begin"/>
      </w:r>
      <w:r>
        <w:instrText xml:space="preserve"> EQ </w:instrText>
      </w:r>
      <w:r>
        <w:rPr>
          <w:i/>
          <w:iCs/>
        </w:rPr>
        <w:instrText>d</w:instrText>
      </w:r>
      <w:r>
        <w:instrText>=</w:instrText>
      </w:r>
      <w:r>
        <w:rPr>
          <w:i/>
          <w:iCs/>
        </w:rPr>
        <w:instrText>b</w:instrText>
      </w:r>
      <w:r>
        <w:instrText>\s\do6(</w:instrText>
      </w:r>
      <w:r>
        <w:rPr>
          <w:sz w:val="20"/>
          <w:szCs w:val="20"/>
        </w:rPr>
        <w:instrText>0</w:instrText>
      </w:r>
      <w:r>
        <w:instrText>)/5</w:instrText>
      </w:r>
      <w:r>
        <w:fldChar w:fldCharType="end"/>
      </w:r>
      <w:r>
        <w:t>.</w:t>
      </w:r>
    </w:p>
    <w:p w:rsidR="00000000" w:rsidRDefault="00B4505B">
      <w:pPr>
        <w:ind w:firstLine="360"/>
      </w:pPr>
      <w:r>
        <w:t>An eddy viscosity distribution for the entire vortex wake system was construc</w:t>
      </w:r>
      <w:r>
        <w:t>ted by superimposing the damped radial distributions from the two vortices using a special non-overlapping summation where the eddy viscosity at any field point is simply equal to the value due to the closest vortex. The composite eddy viscosity distributi</w:t>
      </w:r>
      <w:r>
        <w:t xml:space="preserve">on is shown in Figure </w:t>
      </w:r>
      <w:fldSimple w:instr="REF BMfig_composite_vt \* MERGEFORMAT ">
        <w:r>
          <w:t>3</w:t>
        </w:r>
      </w:fldSimple>
      <w:r>
        <w:t xml:space="preserve">. </w:t>
      </w:r>
    </w:p>
    <w:p w:rsidR="00000000" w:rsidRDefault="00B4505B">
      <w:pPr>
        <w:pStyle w:val="Figure"/>
        <w:spacing w:before="240"/>
        <w:ind w:firstLine="360"/>
        <w:rPr>
          <w:sz w:val="24"/>
          <w:szCs w:val="24"/>
        </w:rPr>
      </w:pPr>
    </w:p>
    <w:p w:rsidR="00000000" w:rsidRDefault="00B4505B">
      <w:pPr>
        <w:pStyle w:val="centerpar"/>
        <w:ind w:firstLine="360"/>
      </w:pPr>
      <w:r>
        <w:lastRenderedPageBreak/>
        <w:drawing>
          <wp:inline distT="0" distB="0" distL="0" distR="0">
            <wp:extent cx="2794000" cy="420370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794000" cy="4203700"/>
                    </a:xfrm>
                    <a:prstGeom prst="rect">
                      <a:avLst/>
                    </a:prstGeom>
                    <a:noFill/>
                    <a:ln w="9525">
                      <a:noFill/>
                      <a:miter lim="800000"/>
                      <a:headEnd/>
                      <a:tailEnd/>
                    </a:ln>
                  </pic:spPr>
                </pic:pic>
              </a:graphicData>
            </a:graphic>
          </wp:inline>
        </w:drawing>
      </w:r>
      <w:r>
        <w:t xml:space="preserve"> </w:t>
      </w:r>
    </w:p>
    <w:p w:rsidR="00000000" w:rsidRDefault="00B4505B">
      <w:pPr>
        <w:pStyle w:val="Caption"/>
      </w:pPr>
      <w:r>
        <w:t xml:space="preserve">Figure </w:t>
      </w:r>
      <w:bookmarkStart w:id="24" w:name="BMfig_composite_vt"/>
      <w:r>
        <w:t>3</w:t>
      </w:r>
      <w:bookmarkEnd w:id="24"/>
      <w:r>
        <w:t>: Composite eddy viscosity distribution for an aircraft vortex wake.</w:t>
      </w:r>
      <w:r>
        <w:fldChar w:fldCharType="begin"/>
      </w:r>
      <w:r>
        <w:instrText>TC "3 Composite eddy viscosity distribution for an aircraft vortex wake." \f f</w:instrText>
      </w:r>
      <w:r>
        <w:fldChar w:fldCharType="end"/>
      </w:r>
    </w:p>
    <w:p w:rsidR="00000000" w:rsidRDefault="00B4505B">
      <w:pPr>
        <w:spacing w:before="240"/>
        <w:ind w:firstLine="360"/>
      </w:pPr>
      <w:r>
        <w:t>It should be stressed that the accuracy of the assumed eddy viscosity damping or the superposition procedure is not critical in the success of the numerical simulations. The m</w:t>
      </w:r>
      <w:r>
        <w:t>ain objective of the simulations is to study the overall behavior of the wake system so that it can be abstracted into a simple mathematical model. The resulting model will contain tunable constants that will be adjusted to match actual aircraft vortex wak</w:t>
      </w:r>
      <w:r>
        <w:t>e measurements. Small errors in the numerical simulations can be accounted for at this stage.</w:t>
      </w:r>
    </w:p>
    <w:p w:rsidR="00000000" w:rsidRDefault="00B4505B">
      <w:pPr>
        <w:pStyle w:val="Heading2"/>
        <w:widowControl/>
      </w:pPr>
      <w:r>
        <w:t>4  Numerical Simulations</w:t>
      </w:r>
    </w:p>
    <w:p w:rsidR="00000000" w:rsidRDefault="00B4505B">
      <w:pPr>
        <w:spacing w:before="60"/>
      </w:pPr>
      <w:r>
        <w:t xml:space="preserve">The simulations target a B747 wake with initial vortex spacing of </w:t>
      </w:r>
      <w:r>
        <w:fldChar w:fldCharType="begin"/>
      </w:r>
      <w:r>
        <w:instrText xml:space="preserve"> EQ </w:instrText>
      </w:r>
      <w:r>
        <w:rPr>
          <w:i/>
          <w:iCs/>
        </w:rPr>
        <w:instrText>b</w:instrText>
      </w:r>
      <w:r>
        <w:instrText>\s\do6(</w:instrText>
      </w:r>
      <w:r>
        <w:rPr>
          <w:sz w:val="20"/>
          <w:szCs w:val="20"/>
        </w:rPr>
        <w:instrText>0</w:instrText>
      </w:r>
      <w:r>
        <w:instrText>)</w:instrText>
      </w:r>
      <w:r>
        <w:fldChar w:fldCharType="end"/>
      </w:r>
      <w:r>
        <w:t>=46 m, an initial altitude of 279 m, an initial circula</w:t>
      </w:r>
      <w:r>
        <w:t xml:space="preserve">tion of </w:t>
      </w:r>
      <w:r>
        <w:fldChar w:fldCharType="begin"/>
      </w:r>
      <w:r>
        <w:instrText xml:space="preserve"> EQ </w:instrText>
      </w:r>
      <w:r>
        <w:instrText>Γ</w:instrText>
      </w:r>
      <w:r>
        <w:instrText>\s\up(</w:instrText>
      </w:r>
      <w:r>
        <w:rPr>
          <w:sz w:val="20"/>
          <w:szCs w:val="20"/>
        </w:rPr>
        <w:instrText>0,</w:instrText>
      </w:r>
      <w:r>
        <w:rPr>
          <w:sz w:val="20"/>
          <w:szCs w:val="20"/>
        </w:rPr>
        <w:instrText>∞</w:instrText>
      </w:r>
      <w:r>
        <w:instrText>)</w:instrText>
      </w:r>
      <w:r>
        <w:fldChar w:fldCharType="end"/>
      </w:r>
      <w:r>
        <w:t xml:space="preserve">=550 </w:t>
      </w:r>
      <w:r>
        <w:fldChar w:fldCharType="begin"/>
      </w:r>
      <w:r>
        <w:instrText xml:space="preserve"> EQ </w:instrText>
      </w:r>
      <w:r>
        <w:rPr>
          <w:i/>
          <w:iCs/>
        </w:rPr>
        <w:instrText>m</w:instrText>
      </w:r>
      <w:r>
        <w:instrText>\s\up6(</w:instrText>
      </w:r>
      <w:r>
        <w:rPr>
          <w:sz w:val="20"/>
          <w:szCs w:val="20"/>
        </w:rPr>
        <w:instrText>2</w:instrText>
      </w:r>
      <w:r>
        <w:instrText>)</w:instrText>
      </w:r>
      <w:r>
        <w:fldChar w:fldCharType="end"/>
      </w:r>
      <w:r>
        <w:t xml:space="preserve">/s, and an initial vortex core radius of </w:t>
      </w:r>
      <w:r>
        <w:rPr>
          <w:i/>
          <w:iCs/>
        </w:rPr>
        <w:t>R</w:t>
      </w:r>
      <w:r>
        <w:t>=2 m. Our choice for core size is very close to 3% of wingspan, which puts it in the range of the measurements taken by Burnham and Hallock[</w:t>
      </w:r>
      <w:fldSimple w:instr="REF BIB_bh82 \* MERGEFORMAT ">
        <w:r>
          <w:t>2</w:t>
        </w:r>
      </w:fldSimple>
      <w:r>
        <w:t xml:space="preserve">, </w:t>
      </w:r>
      <w:fldSimple w:instr="REF BIB_bh13 \* MERGEFORMAT ">
        <w:r>
          <w:t>3</w:t>
        </w:r>
      </w:fldSimple>
      <w:r>
        <w:t>]</w:t>
      </w:r>
    </w:p>
    <w:p w:rsidR="00000000" w:rsidRDefault="00B4505B">
      <w:pPr>
        <w:ind w:firstLine="360"/>
      </w:pPr>
      <w:r>
        <w:t>The initial velocity field is simply the superposition of two Burnham-Hallock vortices.</w:t>
      </w:r>
    </w:p>
    <w:p w:rsidR="00000000" w:rsidRDefault="00B4505B">
      <w:pPr>
        <w:ind w:firstLine="360"/>
      </w:pPr>
      <w:r>
        <w:t>The simulations were performed on a computational domain extending from the surface to 576 m in altitude (z direction), and span</w:t>
      </w:r>
      <w:r>
        <w:t xml:space="preserve">ning 960 m in the horizontal (y) direction. A grid with Nx=2400, Nz=1440 was used so that the mesh spacing is 0.4 m in both directions. The mesh spacing to initial vortex core radius is </w:t>
      </w:r>
      <w:r>
        <w:t>Δ</w:t>
      </w:r>
      <w:r>
        <w:rPr>
          <w:i/>
          <w:iCs/>
        </w:rPr>
        <w:t>x</w:t>
      </w:r>
      <w:r>
        <w:t>/</w:t>
      </w:r>
      <w:r>
        <w:rPr>
          <w:i/>
          <w:iCs/>
        </w:rPr>
        <w:t>R</w:t>
      </w:r>
      <w:r>
        <w:t>=</w:t>
      </w:r>
      <w:r>
        <w:t>Δ</w:t>
      </w:r>
      <w:r>
        <w:rPr>
          <w:i/>
          <w:iCs/>
        </w:rPr>
        <w:t>z</w:t>
      </w:r>
      <w:r>
        <w:t>/</w:t>
      </w:r>
      <w:r>
        <w:rPr>
          <w:i/>
          <w:iCs/>
        </w:rPr>
        <w:t>R</w:t>
      </w:r>
      <w:r>
        <w:t>=0.2. Slip walls were used at the top and bottom, whereas per</w:t>
      </w:r>
      <w:r>
        <w:t xml:space="preserve">iodic boundary conditions were used in the horizontal directions. The slip wall condition at the top and the periodic conditions </w:t>
      </w:r>
      <w:r>
        <w:lastRenderedPageBreak/>
        <w:t xml:space="preserve">in the horizontal are slightly problematic in that they imply the presence of non-physical image vortices. However, the effect </w:t>
      </w:r>
      <w:r>
        <w:t>of the image vortices was minimized by making the domain much larger than the minimal dimensions required to resolve the primary vortices. In order to study the effects of buoyancy and crosswind shear gradients, three simulations were performed, one with a</w:t>
      </w:r>
      <w:r>
        <w:t xml:space="preserve"> neutral atmosphere and no crosswind, a second with an isothermal (stable) atmosphere and no crosswind, and a third with a neutral atmosphere and a quadratic variation in crosswind with altitude.</w:t>
      </w:r>
    </w:p>
    <w:p w:rsidR="00000000" w:rsidRDefault="00B4505B">
      <w:pPr>
        <w:ind w:firstLine="360"/>
      </w:pPr>
      <w:r>
        <w:t xml:space="preserve">In order to keep the simulations simple, the eddy viscosity </w:t>
      </w:r>
      <w:r>
        <w:t>distribution was held fixed in time. This situation corresponds to a pure exponential circulation decay, as given by Eq. (</w:t>
      </w:r>
      <w:fldSimple w:instr="REF BMeq_exp_decay \* MERGEFORMAT ">
        <w:r>
          <w:t>18</w:t>
        </w:r>
      </w:fldSimple>
      <w:r>
        <w:t xml:space="preserve">) with </w:t>
      </w:r>
      <w:r>
        <w:fldChar w:fldCharType="begin"/>
      </w:r>
      <w:r>
        <w:instrText xml:space="preserve"> EQ </w:instrText>
      </w:r>
      <w:r>
        <w:rPr>
          <w:i/>
          <w:iCs/>
        </w:rPr>
        <w:instrText>t</w:instrText>
      </w:r>
      <w:r>
        <w:instrText>\s\do6(</w:instrText>
      </w:r>
      <w:r>
        <w:rPr>
          <w:i/>
          <w:iCs/>
          <w:sz w:val="20"/>
          <w:szCs w:val="20"/>
        </w:rPr>
        <w:instrText>s</w:instrText>
      </w:r>
      <w:r>
        <w:instrText>)=0</w:instrText>
      </w:r>
      <w:r>
        <w:fldChar w:fldCharType="end"/>
      </w:r>
      <w:r>
        <w:t xml:space="preserve">. </w:t>
      </w:r>
    </w:p>
    <w:p w:rsidR="00000000" w:rsidRDefault="00B4505B">
      <w:pPr>
        <w:ind w:firstLine="360"/>
      </w:pPr>
      <w:r>
        <w:t>While the basic shape of the eddy viscosity distribution is fixed i</w:t>
      </w:r>
      <w:r>
        <w:t>n time, it translates with the vortex pair as it descends. To do this, the vortex cores are tracked in time by finding the two locations of minimum pressure.</w:t>
      </w:r>
    </w:p>
    <w:p w:rsidR="00000000" w:rsidRDefault="00B4505B">
      <w:pPr>
        <w:ind w:firstLine="360"/>
      </w:pPr>
      <w:r>
        <w:t>As mentioned above, simulations were performed with and without stable stratification. Case 1 uses a temperature lapse rate of -9.77 K/km, which produces a neutral (unstratified) atmosphere. Case 2 uses an isothermal atmosphere with temperature T=300k. Thi</w:t>
      </w:r>
      <w:r>
        <w:t xml:space="preserve">s gives a buoyancy period of 352 seconds, or equivalently 5.9 minutes. Circulation time histories from the two simulations, (computed on a circle of radius 15 m), are shown in Figure </w:t>
      </w:r>
      <w:fldSimple w:instr="REF BMfig_circulation_history \* MERGEFORMAT ">
        <w:r>
          <w:t>4</w:t>
        </w:r>
      </w:fldSimple>
      <w:r>
        <w:t xml:space="preserve">. </w:t>
      </w:r>
    </w:p>
    <w:p w:rsidR="00000000" w:rsidRDefault="00B4505B">
      <w:pPr>
        <w:pStyle w:val="Figure"/>
        <w:spacing w:before="240"/>
        <w:ind w:firstLine="360"/>
        <w:rPr>
          <w:sz w:val="24"/>
          <w:szCs w:val="24"/>
        </w:rPr>
      </w:pPr>
    </w:p>
    <w:p w:rsidR="00000000" w:rsidRDefault="00B4505B">
      <w:pPr>
        <w:pStyle w:val="centerpar"/>
        <w:ind w:firstLine="360"/>
      </w:pPr>
      <w:r>
        <w:drawing>
          <wp:inline distT="0" distB="0" distL="0" distR="0">
            <wp:extent cx="4114800" cy="28829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114800" cy="2882900"/>
                    </a:xfrm>
                    <a:prstGeom prst="rect">
                      <a:avLst/>
                    </a:prstGeom>
                    <a:noFill/>
                    <a:ln w="9525">
                      <a:noFill/>
                      <a:miter lim="800000"/>
                      <a:headEnd/>
                      <a:tailEnd/>
                    </a:ln>
                  </pic:spPr>
                </pic:pic>
              </a:graphicData>
            </a:graphic>
          </wp:inline>
        </w:drawing>
      </w:r>
      <w:r>
        <w:t xml:space="preserve"> </w:t>
      </w:r>
    </w:p>
    <w:p w:rsidR="00000000" w:rsidRDefault="00B4505B">
      <w:pPr>
        <w:pStyle w:val="Caption"/>
      </w:pPr>
      <w:r>
        <w:t xml:space="preserve">Figure </w:t>
      </w:r>
      <w:bookmarkStart w:id="25" w:name="BMfig_circulation_history"/>
      <w:r>
        <w:t>4</w:t>
      </w:r>
      <w:bookmarkEnd w:id="25"/>
      <w:r>
        <w:t>: Circulation time histories from the numerical simulations compared with the expected decay law.</w:t>
      </w:r>
      <w:r>
        <w:fldChar w:fldCharType="begin"/>
      </w:r>
      <w:r>
        <w:instrText>TC "4 Circulation time histories from the numerical simulations compared with the ex</w:instrText>
      </w:r>
      <w:r>
        <w:instrText>pected decay law." \f f</w:instrText>
      </w:r>
      <w:r>
        <w:fldChar w:fldCharType="end"/>
      </w:r>
    </w:p>
    <w:p w:rsidR="00000000" w:rsidRDefault="00B4505B">
      <w:pPr>
        <w:spacing w:before="240"/>
      </w:pPr>
      <w:r>
        <w:t>The circulation time histories from the two simulations are rather similar. The unstratified case is in almost perfect agreement with the expected exponential decay law, whereas the stratified case decays slightly faster. These re</w:t>
      </w:r>
      <w:r>
        <w:t>sults seem to suggest that the simple axisymmetric diffusion model for a single vortex is surprisingly accurate when modified via a damping function and applied to the non axisymmetric flow in a vortex pair.</w:t>
      </w:r>
    </w:p>
    <w:p w:rsidR="00000000" w:rsidRDefault="00B4505B">
      <w:pPr>
        <w:ind w:firstLine="360"/>
      </w:pPr>
      <w:r>
        <w:t>Similar to the circulation decay, the simulation</w:t>
      </w:r>
      <w:r>
        <w:t xml:space="preserve">s produces velocity profiles that look very much like what is found in experimental data. Figure </w:t>
      </w:r>
      <w:fldSimple w:instr="REF BMfig_vel_profiles \* MERGEFORMAT ">
        <w:r>
          <w:t>5</w:t>
        </w:r>
      </w:fldSimple>
      <w:r>
        <w:t xml:space="preserve"> shows a comparison of the </w:t>
      </w:r>
      <w:r>
        <w:lastRenderedPageBreak/>
        <w:t xml:space="preserve">initial Burnham-Hallock profile and the profile taken from the unstratified simulation at </w:t>
      </w:r>
      <w:r>
        <w:t xml:space="preserve">t=100 s. </w:t>
      </w:r>
    </w:p>
    <w:p w:rsidR="00000000" w:rsidRDefault="00B4505B">
      <w:pPr>
        <w:pStyle w:val="Figure"/>
        <w:spacing w:before="240"/>
        <w:ind w:firstLine="360"/>
        <w:rPr>
          <w:sz w:val="24"/>
          <w:szCs w:val="24"/>
        </w:rPr>
      </w:pPr>
    </w:p>
    <w:p w:rsidR="00000000" w:rsidRDefault="00B4505B">
      <w:pPr>
        <w:pStyle w:val="centerpar"/>
        <w:ind w:firstLine="360"/>
      </w:pPr>
      <w:r>
        <w:drawing>
          <wp:inline distT="0" distB="0" distL="0" distR="0">
            <wp:extent cx="4114800" cy="28829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114800" cy="2882900"/>
                    </a:xfrm>
                    <a:prstGeom prst="rect">
                      <a:avLst/>
                    </a:prstGeom>
                    <a:noFill/>
                    <a:ln w="9525">
                      <a:noFill/>
                      <a:miter lim="800000"/>
                      <a:headEnd/>
                      <a:tailEnd/>
                    </a:ln>
                  </pic:spPr>
                </pic:pic>
              </a:graphicData>
            </a:graphic>
          </wp:inline>
        </w:drawing>
      </w:r>
      <w:r>
        <w:t xml:space="preserve"> </w:t>
      </w:r>
    </w:p>
    <w:p w:rsidR="00000000" w:rsidRDefault="00B4505B">
      <w:pPr>
        <w:pStyle w:val="Caption"/>
      </w:pPr>
      <w:r>
        <w:t xml:space="preserve">Figure </w:t>
      </w:r>
      <w:bookmarkStart w:id="26" w:name="BMfig_vel_profiles"/>
      <w:r>
        <w:t>5</w:t>
      </w:r>
      <w:bookmarkEnd w:id="26"/>
      <w:r>
        <w:t>: Azimuthal velocity profiles from the numerical unstratified numerical solution.</w:t>
      </w:r>
      <w:r>
        <w:fldChar w:fldCharType="begin"/>
      </w:r>
      <w:r>
        <w:instrText>TC "5 Azimuthal velocity profiles from the numerical unstratified numerical soluti</w:instrText>
      </w:r>
      <w:r>
        <w:instrText>on." \f f</w:instrText>
      </w:r>
      <w:r>
        <w:fldChar w:fldCharType="end"/>
      </w:r>
    </w:p>
    <w:p w:rsidR="00000000" w:rsidRDefault="00B4505B">
      <w:pPr>
        <w:spacing w:before="240"/>
      </w:pPr>
      <w:r>
        <w:t>The vortex core size is seen to remain fixed and the overall profile shape remains rather close to the Burnham-Hallock initial condition.</w:t>
      </w:r>
    </w:p>
    <w:p w:rsidR="00000000" w:rsidRDefault="00B4505B">
      <w:pPr>
        <w:pStyle w:val="Heading2"/>
        <w:widowControl/>
      </w:pPr>
      <w:r>
        <w:t>5  Model Elements based on Insights from the Numerical Simulations</w:t>
      </w:r>
    </w:p>
    <w:p w:rsidR="00000000" w:rsidRDefault="00B4505B">
      <w:pPr>
        <w:pStyle w:val="Heading3"/>
        <w:widowControl/>
        <w:spacing w:before="180"/>
      </w:pPr>
      <w:r>
        <w:t>5.1  Fate of the Diffused Vorticity</w:t>
      </w:r>
    </w:p>
    <w:p w:rsidR="00000000" w:rsidRDefault="00B4505B">
      <w:pPr>
        <w:pStyle w:val="Figure"/>
        <w:spacing w:before="300"/>
        <w:rPr>
          <w:sz w:val="24"/>
          <w:szCs w:val="24"/>
        </w:rPr>
      </w:pPr>
    </w:p>
    <w:p w:rsidR="00000000" w:rsidRDefault="00B4505B">
      <w:pPr>
        <w:pStyle w:val="centerpar"/>
        <w:ind w:firstLine="360"/>
      </w:pPr>
      <w:r>
        <w:lastRenderedPageBreak/>
        <w:drawing>
          <wp:inline distT="0" distB="0" distL="0" distR="0">
            <wp:extent cx="2717800" cy="4089400"/>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717800" cy="4089400"/>
                    </a:xfrm>
                    <a:prstGeom prst="rect">
                      <a:avLst/>
                    </a:prstGeom>
                    <a:noFill/>
                    <a:ln w="9525">
                      <a:noFill/>
                      <a:miter lim="800000"/>
                      <a:headEnd/>
                      <a:tailEnd/>
                    </a:ln>
                  </pic:spPr>
                </pic:pic>
              </a:graphicData>
            </a:graphic>
          </wp:inline>
        </w:drawing>
      </w:r>
      <w:r>
        <w:t xml:space="preserve"> </w:t>
      </w:r>
      <w:r>
        <w:drawing>
          <wp:inline distT="0" distB="0" distL="0" distR="0">
            <wp:extent cx="2717800" cy="408940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717800" cy="4089400"/>
                    </a:xfrm>
                    <a:prstGeom prst="rect">
                      <a:avLst/>
                    </a:prstGeom>
                    <a:noFill/>
                    <a:ln w="9525">
                      <a:noFill/>
                      <a:miter lim="800000"/>
                      <a:headEnd/>
                      <a:tailEnd/>
                    </a:ln>
                  </pic:spPr>
                </pic:pic>
              </a:graphicData>
            </a:graphic>
          </wp:inline>
        </w:drawing>
      </w:r>
      <w:r>
        <w:t xml:space="preserve"> </w:t>
      </w:r>
    </w:p>
    <w:p w:rsidR="00000000" w:rsidRDefault="00B4505B">
      <w:pPr>
        <w:pStyle w:val="centerpar"/>
        <w:ind w:firstLine="360"/>
      </w:pPr>
      <w:r>
        <w:lastRenderedPageBreak/>
        <w:drawing>
          <wp:inline distT="0" distB="0" distL="0" distR="0">
            <wp:extent cx="2717800" cy="4089400"/>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717800" cy="4089400"/>
                    </a:xfrm>
                    <a:prstGeom prst="rect">
                      <a:avLst/>
                    </a:prstGeom>
                    <a:noFill/>
                    <a:ln w="9525">
                      <a:noFill/>
                      <a:miter lim="800000"/>
                      <a:headEnd/>
                      <a:tailEnd/>
                    </a:ln>
                  </pic:spPr>
                </pic:pic>
              </a:graphicData>
            </a:graphic>
          </wp:inline>
        </w:drawing>
      </w:r>
      <w:r>
        <w:t xml:space="preserve"> </w:t>
      </w:r>
      <w:r>
        <w:drawing>
          <wp:inline distT="0" distB="0" distL="0" distR="0">
            <wp:extent cx="2717800" cy="4089400"/>
            <wp:effectExtent l="1905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717800" cy="4089400"/>
                    </a:xfrm>
                    <a:prstGeom prst="rect">
                      <a:avLst/>
                    </a:prstGeom>
                    <a:noFill/>
                    <a:ln w="9525">
                      <a:noFill/>
                      <a:miter lim="800000"/>
                      <a:headEnd/>
                      <a:tailEnd/>
                    </a:ln>
                  </pic:spPr>
                </pic:pic>
              </a:graphicData>
            </a:graphic>
          </wp:inline>
        </w:drawing>
      </w:r>
    </w:p>
    <w:p w:rsidR="00000000" w:rsidRDefault="00B4505B">
      <w:pPr>
        <w:pStyle w:val="Caption"/>
      </w:pPr>
      <w:r>
        <w:t xml:space="preserve">Figure </w:t>
      </w:r>
      <w:bookmarkStart w:id="27" w:name="BMfig_vort_sequence1"/>
      <w:r>
        <w:t>6</w:t>
      </w:r>
      <w:bookmarkEnd w:id="27"/>
      <w:r>
        <w:t xml:space="preserve">: Vorticity contours from the unstratified simulation. From top </w:t>
      </w:r>
      <w:r>
        <w:t>left to bottom right the images are taken at 20, 40, 60, and 80 seconds.</w:t>
      </w:r>
      <w:r>
        <w:fldChar w:fldCharType="begin"/>
      </w:r>
      <w:r>
        <w:instrText>TC "6 Vorticity contours from the unstratified simulation. From top left to bottom right the images are taken at 20, 40, 60, and 80 seconds." \f f</w:instrText>
      </w:r>
      <w:r>
        <w:fldChar w:fldCharType="end"/>
      </w:r>
    </w:p>
    <w:p w:rsidR="00000000" w:rsidRDefault="00B4505B">
      <w:pPr>
        <w:pStyle w:val="Figure"/>
        <w:spacing w:before="480"/>
        <w:ind w:firstLine="360"/>
        <w:rPr>
          <w:sz w:val="24"/>
          <w:szCs w:val="24"/>
        </w:rPr>
      </w:pPr>
    </w:p>
    <w:p w:rsidR="00000000" w:rsidRDefault="00B4505B">
      <w:pPr>
        <w:pStyle w:val="centerpar"/>
        <w:ind w:firstLine="360"/>
      </w:pPr>
      <w:r>
        <w:drawing>
          <wp:inline distT="0" distB="0" distL="0" distR="0">
            <wp:extent cx="2717800" cy="408940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717800" cy="4089400"/>
                    </a:xfrm>
                    <a:prstGeom prst="rect">
                      <a:avLst/>
                    </a:prstGeom>
                    <a:noFill/>
                    <a:ln w="9525">
                      <a:noFill/>
                      <a:miter lim="800000"/>
                      <a:headEnd/>
                      <a:tailEnd/>
                    </a:ln>
                  </pic:spPr>
                </pic:pic>
              </a:graphicData>
            </a:graphic>
          </wp:inline>
        </w:drawing>
      </w:r>
      <w:r>
        <w:t xml:space="preserve"> </w:t>
      </w:r>
      <w:r>
        <w:drawing>
          <wp:inline distT="0" distB="0" distL="0" distR="0">
            <wp:extent cx="2717800" cy="4089400"/>
            <wp:effectExtent l="1905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717800" cy="4089400"/>
                    </a:xfrm>
                    <a:prstGeom prst="rect">
                      <a:avLst/>
                    </a:prstGeom>
                    <a:noFill/>
                    <a:ln w="9525">
                      <a:noFill/>
                      <a:miter lim="800000"/>
                      <a:headEnd/>
                      <a:tailEnd/>
                    </a:ln>
                  </pic:spPr>
                </pic:pic>
              </a:graphicData>
            </a:graphic>
          </wp:inline>
        </w:drawing>
      </w:r>
      <w:r>
        <w:t xml:space="preserve"> </w:t>
      </w:r>
    </w:p>
    <w:p w:rsidR="00000000" w:rsidRDefault="00B4505B">
      <w:pPr>
        <w:pStyle w:val="centerpar"/>
        <w:ind w:firstLine="360"/>
      </w:pPr>
      <w:r>
        <w:lastRenderedPageBreak/>
        <w:drawing>
          <wp:inline distT="0" distB="0" distL="0" distR="0">
            <wp:extent cx="2717800" cy="4089400"/>
            <wp:effectExtent l="1905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2717800" cy="4089400"/>
                    </a:xfrm>
                    <a:prstGeom prst="rect">
                      <a:avLst/>
                    </a:prstGeom>
                    <a:noFill/>
                    <a:ln w="9525">
                      <a:noFill/>
                      <a:miter lim="800000"/>
                      <a:headEnd/>
                      <a:tailEnd/>
                    </a:ln>
                  </pic:spPr>
                </pic:pic>
              </a:graphicData>
            </a:graphic>
          </wp:inline>
        </w:drawing>
      </w:r>
      <w:r>
        <w:t xml:space="preserve"> </w:t>
      </w:r>
      <w:r>
        <w:drawing>
          <wp:inline distT="0" distB="0" distL="0" distR="0">
            <wp:extent cx="2717800" cy="408940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717800" cy="4089400"/>
                    </a:xfrm>
                    <a:prstGeom prst="rect">
                      <a:avLst/>
                    </a:prstGeom>
                    <a:noFill/>
                    <a:ln w="9525">
                      <a:noFill/>
                      <a:miter lim="800000"/>
                      <a:headEnd/>
                      <a:tailEnd/>
                    </a:ln>
                  </pic:spPr>
                </pic:pic>
              </a:graphicData>
            </a:graphic>
          </wp:inline>
        </w:drawing>
      </w:r>
    </w:p>
    <w:p w:rsidR="00000000" w:rsidRDefault="00B4505B">
      <w:pPr>
        <w:pStyle w:val="Caption"/>
      </w:pPr>
      <w:r>
        <w:t xml:space="preserve">Figure </w:t>
      </w:r>
      <w:bookmarkStart w:id="28" w:name="BMfig_vort_sequence2"/>
      <w:r>
        <w:t>7</w:t>
      </w:r>
      <w:bookmarkEnd w:id="28"/>
      <w:r>
        <w:t>: Vorticity contours. From top left to bottom right the images are taken at 100, 120, 140, and 1</w:t>
      </w:r>
      <w:r>
        <w:t>60 seconds.</w:t>
      </w:r>
      <w:r>
        <w:fldChar w:fldCharType="begin"/>
      </w:r>
      <w:r>
        <w:instrText>TC "7 Vorticity contours. From top left to bottom right the images are taken at 100, 120, 140, and 160 seconds." \f f</w:instrText>
      </w:r>
      <w:r>
        <w:fldChar w:fldCharType="end"/>
      </w:r>
    </w:p>
    <w:p w:rsidR="00000000" w:rsidRDefault="00B4505B">
      <w:pPr>
        <w:spacing w:before="240"/>
        <w:ind w:firstLine="360"/>
      </w:pPr>
      <w:r>
        <w:lastRenderedPageBreak/>
        <w:t>The main objective of the numerical simulations is to determine the far-field vorticity distribution, i.e. well beyond the ma</w:t>
      </w:r>
      <w:r>
        <w:t xml:space="preserve">ximum </w:t>
      </w:r>
      <w:r>
        <w:fldChar w:fldCharType="begin"/>
      </w:r>
      <w:r>
        <w:instrText xml:space="preserve"> EQ </w:instrText>
      </w:r>
      <w:r>
        <w:rPr>
          <w:i/>
          <w:iCs/>
        </w:rPr>
        <w:instrText>r</w:instrText>
      </w:r>
      <w:r>
        <w:instrText>/</w:instrText>
      </w:r>
      <w:r>
        <w:rPr>
          <w:i/>
          <w:iCs/>
        </w:rPr>
        <w:instrText>R</w:instrText>
      </w:r>
      <w:r>
        <w:instrText>=(0.5</w:instrText>
      </w:r>
      <w:r>
        <w:rPr>
          <w:i/>
          <w:iCs/>
        </w:rPr>
        <w:instrText>b</w:instrText>
      </w:r>
      <w:r>
        <w:instrText>\s\do6(</w:instrText>
      </w:r>
      <w:r>
        <w:rPr>
          <w:sz w:val="20"/>
          <w:szCs w:val="20"/>
        </w:rPr>
        <w:instrText>0</w:instrText>
      </w:r>
      <w:r>
        <w:instrText>))/</w:instrText>
      </w:r>
      <w:r>
        <w:rPr>
          <w:i/>
          <w:iCs/>
        </w:rPr>
        <w:instrText>R</w:instrText>
      </w:r>
      <w:r>
        <w:fldChar w:fldCharType="end"/>
      </w:r>
      <w:r>
        <w:t xml:space="preserve"> range of validity of the analytic model. The far-field vorticity distribution is difficult to predict as it is directly affected by the lingering diffusion in the damped region, advection caused by vortex induction, and mu</w:t>
      </w:r>
      <w:r>
        <w:t xml:space="preserve">tual destruction in the overlap region near the plane of symmetry. Considerable insight to these complex processes can be gained through a time sequence of vorticity contour images. Such a sequence, taken at 20 sec. intervals, are shown in Figures </w:t>
      </w:r>
      <w:fldSimple w:instr="REF BMfig_vort_sequence1 \* MERGEFORMAT ">
        <w:r>
          <w:t>6</w:t>
        </w:r>
      </w:fldSimple>
      <w:r>
        <w:t xml:space="preserve"> and </w:t>
      </w:r>
      <w:fldSimple w:instr="REF BMfig_vort_sequence2 \* MERGEFORMAT ">
        <w:r>
          <w:t>7</w:t>
        </w:r>
      </w:fldSimple>
      <w:r>
        <w:t>.</w:t>
      </w:r>
    </w:p>
    <w:p w:rsidR="00000000" w:rsidRDefault="00B4505B">
      <w:pPr>
        <w:ind w:firstLine="360"/>
      </w:pPr>
      <w:r>
        <w:t xml:space="preserve">Starting with the upper left panel in Figure </w:t>
      </w:r>
      <w:fldSimple w:instr="REF BMfig_vort_sequence1 \* MERGEFORMAT ">
        <w:r>
          <w:t>6</w:t>
        </w:r>
      </w:fldSimple>
      <w:r>
        <w:t xml:space="preserve"> (at t=20 sec.) we see an expected deposition of vorticity in a band correspondi</w:t>
      </w:r>
      <w:r>
        <w:t>ng to the region where the eddy viscosity damping becomes significant. We also see a perhaps unexpected thin band of counter-sign vorticity outside of the primary band. This band is caused by a vorticity source term arising from radial gradients in the edd</w:t>
      </w:r>
      <w:r>
        <w:t>y viscosity. Counter sign vorticity is generated when the eddy viscosity decreases with radius. This effect is perhaps most apparent from the last term in Eq. (</w:t>
      </w:r>
      <w:fldSimple w:instr="REF BMeq_dgamdt \* MERGEFORMAT ">
        <w:r>
          <w:t>9</w:t>
        </w:r>
      </w:fldSimple>
      <w:r>
        <w:t xml:space="preserve">). In what follows we shall refer to the far-field vorticity </w:t>
      </w:r>
      <w:r>
        <w:t>distribution as the "halo" since it more or less encircles the primary vortex.</w:t>
      </w:r>
    </w:p>
    <w:p w:rsidR="00000000" w:rsidRDefault="00B4505B">
      <w:pPr>
        <w:ind w:firstLine="360"/>
      </w:pPr>
      <w:r>
        <w:t>Another striking feature of the vorticity image at t=20 sec. is that there is virtually no diffused vorticity present along the plane of symmetry between the two vortices. This is evidence of mutual destruction as vorticity of opposite sign diffuses togeth</w:t>
      </w:r>
      <w:r>
        <w:t>er in the interaction zone between the vortices.</w:t>
      </w:r>
    </w:p>
    <w:p w:rsidR="00000000" w:rsidRDefault="00B4505B">
      <w:pPr>
        <w:ind w:firstLine="360"/>
      </w:pPr>
      <w:r>
        <w:t xml:space="preserve">Moving to the top right frame in Figure </w:t>
      </w:r>
      <w:fldSimple w:instr="REF BMfig_vort_sequence1 \* MERGEFORMAT ">
        <w:r>
          <w:t>6</w:t>
        </w:r>
      </w:fldSimple>
      <w:r>
        <w:t xml:space="preserve"> (at t=40 sec.) we start to see the effects of advection as the vortex pair (and its associated) oval descend vertically do</w:t>
      </w:r>
      <w:r>
        <w:t xml:space="preserve">wnward. Vorticity existing outside of the oval is left behind, giving the distribution a more pear-like appearance. The pear shape is even more apparent at t=60 sec (middle left frame in Figure </w:t>
      </w:r>
      <w:fldSimple w:instr="REF BMfig_vort_sequence1 \* MERGEFORMAT ">
        <w:r>
          <w:t>6</w:t>
        </w:r>
      </w:fldSimple>
      <w:r>
        <w:t>). We also begin t</w:t>
      </w:r>
      <w:r>
        <w:t>o see a penetration of primary vorticity near the symmetry line. This effect is due to advection along "D" shaped streamlines within the vortex oval. This effect continually transports a fresh supply of vorticity along either side of the symmetry line. Som</w:t>
      </w:r>
      <w:r>
        <w:t>e this vorticity is destroyed due to mutual diffusion, but a fraction survives, especially for the region inboard of the symmetry line.</w:t>
      </w:r>
    </w:p>
    <w:p w:rsidR="00000000" w:rsidRDefault="00B4505B">
      <w:pPr>
        <w:ind w:firstLine="360"/>
      </w:pPr>
      <w:r>
        <w:t xml:space="preserve">The vorticity distribution progresses in a logical way for the remainder of the images in Figures </w:t>
      </w:r>
      <w:fldSimple w:instr="REF BMfig_vort_sequence1 \* MERGEFORMAT ">
        <w:r>
          <w:t>6</w:t>
        </w:r>
      </w:fldSimple>
      <w:r>
        <w:t xml:space="preserve"> and </w:t>
      </w:r>
      <w:fldSimple w:instr="REF BMfig_vort_sequence2 \* MERGEFORMAT ">
        <w:r>
          <w:t>7</w:t>
        </w:r>
      </w:fldSimple>
      <w:r>
        <w:t>. In particular, the basic distribution becomes more elongated, and the bands of primary vorticity continue to penetrate a bit deeper along the symmetry line.</w:t>
      </w:r>
    </w:p>
    <w:p w:rsidR="00000000" w:rsidRDefault="00B4505B">
      <w:pPr>
        <w:pStyle w:val="Heading3"/>
        <w:widowControl/>
        <w:spacing w:before="120"/>
      </w:pPr>
      <w:r>
        <w:t>5.2  Modeling the Net Effe</w:t>
      </w:r>
      <w:r>
        <w:t>ct of the Far-Field Vorticity Distribution</w:t>
      </w:r>
    </w:p>
    <w:p w:rsidR="00000000" w:rsidRDefault="00B4505B">
      <w:pPr>
        <w:spacing w:before="60"/>
      </w:pPr>
      <w:r>
        <w:t xml:space="preserve">From a theoretical standpoint, the motions of each of the two primary vortices can be determined exactly via application of the Biot-Savart law to the entire vortex field. Of course such detailed information will </w:t>
      </w:r>
      <w:r>
        <w:t>not be available in a fast wake model and thus our objective here is to use the numerical simulation data in order to approximate the far-field vorticity distribution in a simple way that produces similar net induction on the primary vortices. A good way t</w:t>
      </w:r>
      <w:r>
        <w:t>o think about this process is that we would like to merge or "condense" the far field "vorticity halo" into a small number of discrete "halo" vortices.</w:t>
      </w:r>
    </w:p>
    <w:p w:rsidR="00000000" w:rsidRDefault="00B4505B">
      <w:pPr>
        <w:pStyle w:val="Figure"/>
        <w:spacing w:before="240"/>
        <w:ind w:firstLine="360"/>
        <w:rPr>
          <w:sz w:val="24"/>
          <w:szCs w:val="24"/>
        </w:rPr>
      </w:pPr>
    </w:p>
    <w:p w:rsidR="00000000" w:rsidRDefault="00B4505B">
      <w:pPr>
        <w:pStyle w:val="centerpar"/>
        <w:ind w:firstLine="360"/>
      </w:pPr>
      <w:r>
        <w:lastRenderedPageBreak/>
        <w:drawing>
          <wp:inline distT="0" distB="0" distL="0" distR="0">
            <wp:extent cx="2717800" cy="4089400"/>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2717800" cy="4089400"/>
                    </a:xfrm>
                    <a:prstGeom prst="rect">
                      <a:avLst/>
                    </a:prstGeom>
                    <a:noFill/>
                    <a:ln w="9525">
                      <a:noFill/>
                      <a:miter lim="800000"/>
                      <a:headEnd/>
                      <a:tailEnd/>
                    </a:ln>
                  </pic:spPr>
                </pic:pic>
              </a:graphicData>
            </a:graphic>
          </wp:inline>
        </w:drawing>
      </w:r>
      <w:r>
        <w:t xml:space="preserve"> </w:t>
      </w:r>
    </w:p>
    <w:p w:rsidR="00000000" w:rsidRDefault="00B4505B">
      <w:pPr>
        <w:pStyle w:val="Caption"/>
      </w:pPr>
      <w:r>
        <w:t xml:space="preserve">Figure </w:t>
      </w:r>
      <w:bookmarkStart w:id="29" w:name="BMfig_quadrants"/>
      <w:r>
        <w:t>8</w:t>
      </w:r>
      <w:bookmarkEnd w:id="29"/>
      <w:r>
        <w:t>: Division of the flow fiel</w:t>
      </w:r>
      <w:r>
        <w:t>d into three distinct regions for each side of the vortex wake. The division is shown only for the left half.</w:t>
      </w:r>
      <w:r>
        <w:fldChar w:fldCharType="begin"/>
      </w:r>
      <w:r>
        <w:instrText>TC "8 Division of the flow field into three distinct regions for each side of the vortex wake. The division is shown only for the left half." \f f</w:instrText>
      </w:r>
      <w:r>
        <w:fldChar w:fldCharType="end"/>
      </w:r>
    </w:p>
    <w:p w:rsidR="00000000" w:rsidRDefault="00B4505B">
      <w:pPr>
        <w:spacing w:before="240"/>
        <w:ind w:firstLine="360"/>
      </w:pPr>
      <w:r>
        <w:t>The procedure for determining the strength and position of the halo vortices is actually quite simple. We start by dividing each half of the field into three equi-angular (</w:t>
      </w:r>
      <w:r>
        <w:fldChar w:fldCharType="begin"/>
      </w:r>
      <w:r>
        <w:instrText xml:space="preserve"> EQ 120\s\up6(</w:instrText>
      </w:r>
      <w:r>
        <w:rPr>
          <w:sz w:val="20"/>
          <w:szCs w:val="20"/>
        </w:rPr>
        <w:instrText>0</w:instrText>
      </w:r>
      <w:r>
        <w:instrText>)</w:instrText>
      </w:r>
      <w:r>
        <w:fldChar w:fldCharType="end"/>
      </w:r>
      <w:r>
        <w:t>) quadrants as illustrated for the left half of the field in Fig</w:t>
      </w:r>
      <w:r>
        <w:t xml:space="preserve">ure </w:t>
      </w:r>
      <w:fldSimple w:instr="REF BMfig_quadrants \* MERGEFORMAT ">
        <w:r>
          <w:t>8</w:t>
        </w:r>
      </w:fldSimple>
      <w:r>
        <w:t>. We then draw a circle of 15 m radius around the primary vortex. The area inside this circle is used to compute the circulation and induction due to the primary vortex and is thus excluded from the halo field com</w:t>
      </w:r>
      <w:r>
        <w:t xml:space="preserve">putation. Next, for each sector (outside the 15 m radius circle), we compute the net circulation as well as the net induced velocity at the position of the primary vortex. Finally we iteratively solve a small non-linear problem to determine the </w:t>
      </w:r>
      <w:r>
        <w:rPr>
          <w:i/>
          <w:iCs/>
        </w:rPr>
        <w:t>y</w:t>
      </w:r>
      <w:r>
        <w:t xml:space="preserve"> and </w:t>
      </w:r>
      <w:r>
        <w:rPr>
          <w:i/>
          <w:iCs/>
        </w:rPr>
        <w:t>z</w:t>
      </w:r>
      <w:r>
        <w:t xml:space="preserve"> coo</w:t>
      </w:r>
      <w:r>
        <w:t>rdinates for an effective concentrated vortex having the same circulation and the same induced velocity on the primary vortex as determined for the entire sector. This procedure is repeated for each of the 160 output times available from the simulation.</w:t>
      </w:r>
    </w:p>
    <w:p w:rsidR="00000000" w:rsidRDefault="00B4505B">
      <w:pPr>
        <w:ind w:firstLine="360"/>
      </w:pPr>
      <w:r>
        <w:t>Wh</w:t>
      </w:r>
      <w:r>
        <w:t>ile the above procedure could be applied to each half of the flow field independently, our numerical simulations were constructed to be anti-symmetric with respect to the symmetry line. Thus for present purposes it is sufficient to consider only the left (</w:t>
      </w:r>
      <w:r>
        <w:t>port) half of the flow field. Thus in what follows we develop procedures for determining the strength and position of just the three halo vortices on the port side. The strengths and positions of the halo vortices on the starboard side then follows by symm</w:t>
      </w:r>
      <w:r>
        <w:t>etry.</w:t>
      </w:r>
    </w:p>
    <w:p w:rsidR="00000000" w:rsidRDefault="00B4505B">
      <w:pPr>
        <w:pStyle w:val="Figure"/>
        <w:spacing w:before="240"/>
        <w:ind w:firstLine="360"/>
        <w:rPr>
          <w:sz w:val="24"/>
          <w:szCs w:val="24"/>
        </w:rPr>
      </w:pPr>
    </w:p>
    <w:p w:rsidR="00000000" w:rsidRDefault="00B4505B">
      <w:pPr>
        <w:pStyle w:val="centerpar"/>
        <w:ind w:firstLine="360"/>
      </w:pPr>
      <w:r>
        <w:lastRenderedPageBreak/>
        <w:drawing>
          <wp:inline distT="0" distB="0" distL="0" distR="0">
            <wp:extent cx="4114800" cy="28829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4114800" cy="2882900"/>
                    </a:xfrm>
                    <a:prstGeom prst="rect">
                      <a:avLst/>
                    </a:prstGeom>
                    <a:noFill/>
                    <a:ln w="9525">
                      <a:noFill/>
                      <a:miter lim="800000"/>
                      <a:headEnd/>
                      <a:tailEnd/>
                    </a:ln>
                  </pic:spPr>
                </pic:pic>
              </a:graphicData>
            </a:graphic>
          </wp:inline>
        </w:drawing>
      </w:r>
      <w:r>
        <w:t xml:space="preserve"> </w:t>
      </w:r>
    </w:p>
    <w:p w:rsidR="00000000" w:rsidRDefault="00B4505B">
      <w:pPr>
        <w:pStyle w:val="Caption"/>
      </w:pPr>
      <w:r>
        <w:t xml:space="preserve">Figure </w:t>
      </w:r>
      <w:bookmarkStart w:id="30" w:name="BMfig_vort_positions"/>
      <w:r>
        <w:t>9</w:t>
      </w:r>
      <w:bookmarkEnd w:id="30"/>
      <w:r>
        <w:t>: Effective concentrated vortex positions computed at each output time from the unstratified simulation. The black center mark symbols indicate the chosen fixed po</w:t>
      </w:r>
      <w:r>
        <w:t xml:space="preserve">sition for each vortex and these are numbered moving counterclockwise from the upper right as indicated. The primary vortex is located at </w:t>
      </w:r>
      <w:r>
        <w:rPr>
          <w:i/>
          <w:iCs/>
        </w:rPr>
        <w:t>y</w:t>
      </w:r>
      <w:r>
        <w:t>/</w:t>
      </w:r>
      <w:r>
        <w:rPr>
          <w:i/>
          <w:iCs/>
        </w:rPr>
        <w:t>b</w:t>
      </w:r>
      <w:r>
        <w:t>=</w:t>
      </w:r>
      <w:r>
        <w:t>−</w:t>
      </w:r>
      <w:r>
        <w:t xml:space="preserve">0.5, </w:t>
      </w:r>
      <w:r>
        <w:rPr>
          <w:i/>
          <w:iCs/>
        </w:rPr>
        <w:t>z</w:t>
      </w:r>
      <w:r>
        <w:t>/</w:t>
      </w:r>
      <w:r>
        <w:rPr>
          <w:i/>
          <w:iCs/>
        </w:rPr>
        <w:t>b</w:t>
      </w:r>
      <w:r>
        <w:t>=0 (the intersection of the solid black lines).</w:t>
      </w:r>
      <w:r>
        <w:fldChar w:fldCharType="begin"/>
      </w:r>
      <w:r>
        <w:instrText xml:space="preserve">TC "9 Effective concentrated vortex positions computed at </w:instrText>
      </w:r>
      <w:r>
        <w:instrText xml:space="preserve">each output time from the unstratified simulation. The black center mark symbols indicate the chosen fixed position for each vortex and these are numbered moving counterclockwise from the upper right as indicated. The primary vortex is located at </w:instrText>
      </w:r>
      <w:r>
        <w:rPr>
          <w:i/>
          <w:iCs/>
        </w:rPr>
        <w:instrText>y</w:instrText>
      </w:r>
      <w:r>
        <w:instrText>/</w:instrText>
      </w:r>
      <w:r>
        <w:rPr>
          <w:i/>
          <w:iCs/>
        </w:rPr>
        <w:instrText>b</w:instrText>
      </w:r>
      <w:r>
        <w:instrText>=</w:instrText>
      </w:r>
      <w:r>
        <w:instrText>−</w:instrText>
      </w:r>
      <w:r>
        <w:instrText>0.5,</w:instrText>
      </w:r>
      <w:r>
        <w:instrText xml:space="preserve"> </w:instrText>
      </w:r>
      <w:r>
        <w:rPr>
          <w:i/>
          <w:iCs/>
        </w:rPr>
        <w:instrText>z</w:instrText>
      </w:r>
      <w:r>
        <w:instrText>/</w:instrText>
      </w:r>
      <w:r>
        <w:rPr>
          <w:i/>
          <w:iCs/>
        </w:rPr>
        <w:instrText>b</w:instrText>
      </w:r>
      <w:r>
        <w:instrText>=0 (the intersection of the solid black lines)." \f f</w:instrText>
      </w:r>
      <w:r>
        <w:fldChar w:fldCharType="end"/>
      </w:r>
    </w:p>
    <w:p w:rsidR="00000000" w:rsidRDefault="00B4505B">
      <w:pPr>
        <w:spacing w:before="240"/>
        <w:ind w:firstLine="360"/>
      </w:pPr>
      <w:r>
        <w:t>The end result of the halo vorticity data reduction exercise is a time sequence of halo vortex positions and circulations for each of the three sectors on the port side. As one might expect, the p</w:t>
      </w:r>
      <w:r>
        <w:t xml:space="preserve">ositions of the halo vortices are not fixed in time. This effect is illustrated in Figure </w:t>
      </w:r>
      <w:fldSimple w:instr="REF BMfig_vort_positions \* MERGEFORMAT ">
        <w:r>
          <w:t>9</w:t>
        </w:r>
      </w:fldSimple>
      <w:r>
        <w:t xml:space="preserve"> where the </w:t>
      </w:r>
      <w:r>
        <w:t xml:space="preserve">port side halo vortex positions for each of the 160 output time instants are plotted. For each sector, the vortices move quickly for several steps near </w:t>
      </w:r>
      <w:r>
        <w:rPr>
          <w:i/>
          <w:iCs/>
        </w:rPr>
        <w:t>t</w:t>
      </w:r>
      <w:r>
        <w:t>=0 (the end of the trace where the symbols are widely spaced) and then settle in to a more regular traj</w:t>
      </w:r>
      <w:r>
        <w:t>ectory. Although there is some tendency for each of the vortices to converge to a fixed location, this is not really achieved. Since we would like the fast wake model to be as simple as possible, it was decided to ignore the motions of the halo vortices. A</w:t>
      </w:r>
      <w:r>
        <w:t>s will be demonstrated below, the vortex motion is evidently not a critical detail in the overall accuracy of the model and very good results can be obtained using static halo vortex positions.</w:t>
      </w:r>
    </w:p>
    <w:p w:rsidR="00000000" w:rsidRDefault="00B4505B">
      <w:pPr>
        <w:ind w:firstLine="360"/>
      </w:pPr>
      <w:r>
        <w:t>At the outset, we determined the halo vortex positions by simp</w:t>
      </w:r>
      <w:r>
        <w:t>ly averaging their position data in time. Later we found that slightly better results could be obtained by adjusting the vortex positions slightly from the average location. The final chosen static positions are indicated by the black center mark symbols i</w:t>
      </w:r>
      <w:r>
        <w:t xml:space="preserve">n Figure </w:t>
      </w:r>
      <w:fldSimple w:instr="REF BMfig_vort_positions \* MERGEFORMAT ">
        <w:r>
          <w:t>9</w:t>
        </w:r>
      </w:fldSimple>
      <w:r>
        <w:t xml:space="preserve"> and their coordinates are listed in Table </w:t>
      </w:r>
      <w:fldSimple w:instr="REF BMtable_halo_coords \* MERGEFORMAT ">
        <w:r>
          <w:t>1</w:t>
        </w:r>
      </w:fldSimple>
      <w:r>
        <w:t>.</w:t>
      </w:r>
    </w:p>
    <w:p w:rsidR="00000000" w:rsidRDefault="00B4505B">
      <w:pPr>
        <w:pStyle w:val="Table"/>
        <w:spacing w:before="240"/>
        <w:rPr>
          <w:sz w:val="24"/>
          <w:szCs w:val="24"/>
        </w:rPr>
      </w:pPr>
    </w:p>
    <w:p w:rsidR="00000000" w:rsidRDefault="00B4505B">
      <w:pPr>
        <w:pStyle w:val="Table"/>
        <w:rPr>
          <w:sz w:val="24"/>
          <w:szCs w:val="24"/>
        </w:rPr>
      </w:pPr>
    </w:p>
    <w:tbl>
      <w:tblPr>
        <w:tblW w:w="0" w:type="auto"/>
        <w:tblInd w:w="8" w:type="dxa"/>
        <w:tblLayout w:type="fixed"/>
        <w:tblCellMar>
          <w:left w:w="0" w:type="dxa"/>
          <w:right w:w="0" w:type="dxa"/>
        </w:tblCellMar>
        <w:tblLook w:val="0000"/>
      </w:tblPr>
      <w:tblGrid>
        <w:gridCol w:w="2717"/>
        <w:gridCol w:w="1190"/>
        <w:gridCol w:w="1190"/>
        <w:gridCol w:w="1190"/>
        <w:gridCol w:w="1190"/>
        <w:gridCol w:w="1190"/>
      </w:tblGrid>
      <w:tr w:rsidR="00B4505B" w:rsidTr="00B4505B">
        <w:tblPrEx>
          <w:tblCellMar>
            <w:top w:w="0" w:type="dxa"/>
            <w:left w:w="0" w:type="dxa"/>
            <w:bottom w:w="0" w:type="dxa"/>
            <w:right w:w="0" w:type="dxa"/>
          </w:tblCellMar>
        </w:tblPrEx>
        <w:tc>
          <w:tcPr>
            <w:tcW w:w="2717" w:type="dxa"/>
            <w:gridSpan w:val="2"/>
            <w:tcBorders>
              <w:top w:val="single" w:sz="6" w:space="0" w:color="auto"/>
              <w:left w:val="single" w:sz="6" w:space="0" w:color="auto"/>
              <w:bottom w:val="single" w:sz="6" w:space="0" w:color="auto"/>
              <w:right w:val="double" w:sz="6" w:space="0" w:color="auto"/>
            </w:tcBorders>
          </w:tcPr>
          <w:p w:rsidR="00000000" w:rsidRDefault="00B4505B">
            <w:pPr>
              <w:jc w:val="center"/>
            </w:pPr>
            <w:r>
              <w:t xml:space="preserve"> </w:t>
            </w:r>
            <w:r>
              <w:fldChar w:fldCharType="begin"/>
            </w:r>
            <w:r>
              <w:instrText xml:space="preserve"> EQ </w:instrText>
            </w:r>
            <w:r>
              <w:instrText>Γ</w:instrText>
            </w:r>
            <w:r>
              <w:instrText>\s\do6(</w:instrText>
            </w:r>
            <w:r>
              <w:rPr>
                <w:sz w:val="20"/>
                <w:szCs w:val="20"/>
              </w:rPr>
              <w:instrText>1</w:instrText>
            </w:r>
            <w:r>
              <w:instrText>)</w:instrText>
            </w:r>
            <w:r>
              <w:fldChar w:fldCharType="end"/>
            </w:r>
          </w:p>
        </w:tc>
        <w:tc>
          <w:tcPr>
            <w:tcW w:w="1190" w:type="dxa"/>
            <w:gridSpan w:val="2"/>
            <w:tcBorders>
              <w:top w:val="single" w:sz="6" w:space="0" w:color="auto"/>
              <w:left w:val="single" w:sz="6" w:space="0" w:color="auto"/>
              <w:bottom w:val="single" w:sz="6" w:space="0" w:color="auto"/>
              <w:right w:val="double" w:sz="6" w:space="0" w:color="auto"/>
            </w:tcBorders>
          </w:tcPr>
          <w:p w:rsidR="00000000" w:rsidRDefault="00B4505B">
            <w:pPr>
              <w:jc w:val="center"/>
            </w:pPr>
            <w:r>
              <w:fldChar w:fldCharType="begin"/>
            </w:r>
            <w:r>
              <w:instrText xml:space="preserve"> EQ </w:instrText>
            </w:r>
            <w:r>
              <w:instrText>Γ</w:instrText>
            </w:r>
            <w:r>
              <w:instrText>\s\do6(</w:instrText>
            </w:r>
            <w:r>
              <w:rPr>
                <w:sz w:val="20"/>
                <w:szCs w:val="20"/>
              </w:rPr>
              <w:instrText>2</w:instrText>
            </w:r>
            <w:r>
              <w:instrText>)</w:instrText>
            </w:r>
            <w:r>
              <w:fldChar w:fldCharType="end"/>
            </w:r>
          </w:p>
        </w:tc>
        <w:tc>
          <w:tcPr>
            <w:tcW w:w="1190" w:type="dxa"/>
            <w:gridSpan w:val="2"/>
            <w:tcBorders>
              <w:top w:val="single" w:sz="6" w:space="0" w:color="auto"/>
              <w:left w:val="single" w:sz="6" w:space="0" w:color="auto"/>
              <w:bottom w:val="single" w:sz="6" w:space="0" w:color="auto"/>
              <w:right w:val="single" w:sz="6" w:space="0" w:color="auto"/>
            </w:tcBorders>
          </w:tcPr>
          <w:p w:rsidR="00000000" w:rsidRDefault="00B4505B">
            <w:pPr>
              <w:jc w:val="center"/>
            </w:pPr>
            <w:r>
              <w:fldChar w:fldCharType="begin"/>
            </w:r>
            <w:r>
              <w:instrText xml:space="preserve"> EQ </w:instrText>
            </w:r>
            <w:r>
              <w:instrText>Γ</w:instrText>
            </w:r>
            <w:r>
              <w:instrText>\s\do6(</w:instrText>
            </w:r>
            <w:r>
              <w:rPr>
                <w:sz w:val="20"/>
                <w:szCs w:val="20"/>
              </w:rPr>
              <w:instrText>3</w:instrText>
            </w:r>
            <w:r>
              <w:instrText>)</w:instrText>
            </w:r>
            <w:r>
              <w:fldChar w:fldCharType="end"/>
            </w:r>
          </w:p>
        </w:tc>
      </w:tr>
      <w:tr w:rsidR="00000000">
        <w:tblPrEx>
          <w:tblCellMar>
            <w:top w:w="0" w:type="dxa"/>
            <w:left w:w="0" w:type="dxa"/>
            <w:bottom w:w="0" w:type="dxa"/>
            <w:right w:w="0" w:type="dxa"/>
          </w:tblCellMar>
        </w:tblPrEx>
        <w:tc>
          <w:tcPr>
            <w:tcW w:w="2717" w:type="dxa"/>
            <w:tcBorders>
              <w:top w:val="nil"/>
              <w:left w:val="single" w:sz="6" w:space="0" w:color="auto"/>
              <w:bottom w:val="single" w:sz="6" w:space="0" w:color="auto"/>
              <w:right w:val="single" w:sz="6" w:space="0" w:color="auto"/>
            </w:tcBorders>
          </w:tcPr>
          <w:p w:rsidR="00000000" w:rsidRDefault="00B4505B">
            <w:pPr>
              <w:jc w:val="center"/>
            </w:pPr>
            <w:r>
              <w:t xml:space="preserve"> </w:t>
            </w:r>
            <w:r>
              <w:rPr>
                <w:i/>
                <w:iCs/>
              </w:rPr>
              <w:t>y</w:t>
            </w:r>
            <w:r>
              <w:t>/</w:t>
            </w:r>
            <w:r>
              <w:rPr>
                <w:i/>
                <w:iCs/>
              </w:rPr>
              <w:t>b</w:t>
            </w:r>
          </w:p>
        </w:tc>
        <w:tc>
          <w:tcPr>
            <w:tcW w:w="1190" w:type="dxa"/>
            <w:tcBorders>
              <w:top w:val="nil"/>
              <w:left w:val="single" w:sz="6" w:space="0" w:color="auto"/>
              <w:bottom w:val="single" w:sz="6" w:space="0" w:color="auto"/>
              <w:right w:val="double" w:sz="6" w:space="0" w:color="auto"/>
            </w:tcBorders>
          </w:tcPr>
          <w:p w:rsidR="00000000" w:rsidRDefault="00B4505B">
            <w:pPr>
              <w:jc w:val="center"/>
            </w:pPr>
            <w:r>
              <w:rPr>
                <w:i/>
                <w:iCs/>
              </w:rPr>
              <w:t>z</w:t>
            </w:r>
            <w:r>
              <w:t>/</w:t>
            </w:r>
            <w:r>
              <w:rPr>
                <w:i/>
                <w:iCs/>
              </w:rPr>
              <w:t>b</w:t>
            </w:r>
          </w:p>
        </w:tc>
        <w:tc>
          <w:tcPr>
            <w:tcW w:w="1190" w:type="dxa"/>
            <w:tcBorders>
              <w:top w:val="nil"/>
              <w:left w:val="double" w:sz="6" w:space="0" w:color="auto"/>
              <w:bottom w:val="single" w:sz="6" w:space="0" w:color="auto"/>
              <w:right w:val="single" w:sz="6" w:space="0" w:color="auto"/>
            </w:tcBorders>
          </w:tcPr>
          <w:p w:rsidR="00000000" w:rsidRDefault="00B4505B">
            <w:pPr>
              <w:jc w:val="center"/>
            </w:pPr>
            <w:r>
              <w:rPr>
                <w:i/>
                <w:iCs/>
              </w:rPr>
              <w:t>y</w:t>
            </w:r>
            <w:r>
              <w:t>/</w:t>
            </w:r>
            <w:r>
              <w:rPr>
                <w:i/>
                <w:iCs/>
              </w:rPr>
              <w:t>b</w:t>
            </w:r>
          </w:p>
        </w:tc>
        <w:tc>
          <w:tcPr>
            <w:tcW w:w="1190" w:type="dxa"/>
            <w:tcBorders>
              <w:top w:val="nil"/>
              <w:left w:val="single" w:sz="6" w:space="0" w:color="auto"/>
              <w:bottom w:val="single" w:sz="6" w:space="0" w:color="auto"/>
              <w:right w:val="double" w:sz="6" w:space="0" w:color="auto"/>
            </w:tcBorders>
          </w:tcPr>
          <w:p w:rsidR="00000000" w:rsidRDefault="00B4505B">
            <w:pPr>
              <w:jc w:val="center"/>
            </w:pPr>
            <w:r>
              <w:rPr>
                <w:i/>
                <w:iCs/>
              </w:rPr>
              <w:t>z</w:t>
            </w:r>
            <w:r>
              <w:t>/</w:t>
            </w:r>
            <w:r>
              <w:rPr>
                <w:i/>
                <w:iCs/>
              </w:rPr>
              <w:t>b</w:t>
            </w:r>
          </w:p>
        </w:tc>
        <w:tc>
          <w:tcPr>
            <w:tcW w:w="1190" w:type="dxa"/>
            <w:tcBorders>
              <w:top w:val="nil"/>
              <w:left w:val="double" w:sz="6" w:space="0" w:color="auto"/>
              <w:bottom w:val="single" w:sz="6" w:space="0" w:color="auto"/>
              <w:right w:val="single" w:sz="6" w:space="0" w:color="auto"/>
            </w:tcBorders>
          </w:tcPr>
          <w:p w:rsidR="00000000" w:rsidRDefault="00B4505B">
            <w:pPr>
              <w:jc w:val="center"/>
            </w:pPr>
            <w:r>
              <w:rPr>
                <w:i/>
                <w:iCs/>
              </w:rPr>
              <w:t>y</w:t>
            </w:r>
            <w:r>
              <w:t>/</w:t>
            </w:r>
            <w:r>
              <w:rPr>
                <w:i/>
                <w:iCs/>
              </w:rPr>
              <w:t>b</w:t>
            </w:r>
          </w:p>
        </w:tc>
        <w:tc>
          <w:tcPr>
            <w:tcW w:w="1190" w:type="dxa"/>
            <w:tcBorders>
              <w:top w:val="nil"/>
              <w:left w:val="single" w:sz="6" w:space="0" w:color="auto"/>
              <w:bottom w:val="single" w:sz="6" w:space="0" w:color="auto"/>
              <w:right w:val="single" w:sz="6" w:space="0" w:color="auto"/>
            </w:tcBorders>
          </w:tcPr>
          <w:p w:rsidR="00000000" w:rsidRDefault="00B4505B">
            <w:pPr>
              <w:jc w:val="center"/>
            </w:pPr>
            <w:r>
              <w:rPr>
                <w:i/>
                <w:iCs/>
              </w:rPr>
              <w:t>z</w:t>
            </w:r>
            <w:r>
              <w:t>/</w:t>
            </w:r>
            <w:r>
              <w:rPr>
                <w:i/>
                <w:iCs/>
              </w:rPr>
              <w:t>b</w:t>
            </w:r>
          </w:p>
        </w:tc>
      </w:tr>
      <w:tr w:rsidR="00000000">
        <w:tblPrEx>
          <w:tblCellMar>
            <w:top w:w="0" w:type="dxa"/>
            <w:left w:w="0" w:type="dxa"/>
            <w:bottom w:w="0" w:type="dxa"/>
            <w:right w:w="0" w:type="dxa"/>
          </w:tblCellMar>
        </w:tblPrEx>
        <w:tc>
          <w:tcPr>
            <w:tcW w:w="2717" w:type="dxa"/>
            <w:tcBorders>
              <w:top w:val="nil"/>
              <w:left w:val="single" w:sz="6" w:space="0" w:color="auto"/>
              <w:bottom w:val="single" w:sz="6" w:space="0" w:color="auto"/>
              <w:right w:val="single" w:sz="6" w:space="0" w:color="auto"/>
            </w:tcBorders>
          </w:tcPr>
          <w:p w:rsidR="00000000" w:rsidRDefault="00B4505B">
            <w:pPr>
              <w:jc w:val="center"/>
            </w:pPr>
            <w:r>
              <w:t xml:space="preserve"> -0.35</w:t>
            </w:r>
          </w:p>
        </w:tc>
        <w:tc>
          <w:tcPr>
            <w:tcW w:w="1190" w:type="dxa"/>
            <w:tcBorders>
              <w:top w:val="nil"/>
              <w:left w:val="single" w:sz="6" w:space="0" w:color="auto"/>
              <w:bottom w:val="single" w:sz="6" w:space="0" w:color="auto"/>
              <w:right w:val="double" w:sz="6" w:space="0" w:color="auto"/>
            </w:tcBorders>
          </w:tcPr>
          <w:p w:rsidR="00000000" w:rsidRDefault="00B4505B">
            <w:pPr>
              <w:jc w:val="center"/>
            </w:pPr>
            <w:r>
              <w:t>0.90</w:t>
            </w:r>
          </w:p>
        </w:tc>
        <w:tc>
          <w:tcPr>
            <w:tcW w:w="1190" w:type="dxa"/>
            <w:tcBorders>
              <w:top w:val="nil"/>
              <w:left w:val="double" w:sz="6" w:space="0" w:color="auto"/>
              <w:bottom w:val="single" w:sz="6" w:space="0" w:color="auto"/>
              <w:right w:val="single" w:sz="6" w:space="0" w:color="auto"/>
            </w:tcBorders>
          </w:tcPr>
          <w:p w:rsidR="00000000" w:rsidRDefault="00B4505B">
            <w:pPr>
              <w:jc w:val="center"/>
            </w:pPr>
            <w:r>
              <w:t>-1.05</w:t>
            </w:r>
          </w:p>
        </w:tc>
        <w:tc>
          <w:tcPr>
            <w:tcW w:w="1190" w:type="dxa"/>
            <w:tcBorders>
              <w:top w:val="nil"/>
              <w:left w:val="single" w:sz="6" w:space="0" w:color="auto"/>
              <w:bottom w:val="single" w:sz="6" w:space="0" w:color="auto"/>
              <w:right w:val="double" w:sz="6" w:space="0" w:color="auto"/>
            </w:tcBorders>
          </w:tcPr>
          <w:p w:rsidR="00000000" w:rsidRDefault="00B4505B">
            <w:pPr>
              <w:jc w:val="center"/>
            </w:pPr>
            <w:r>
              <w:t>0.0</w:t>
            </w:r>
          </w:p>
        </w:tc>
        <w:tc>
          <w:tcPr>
            <w:tcW w:w="1190" w:type="dxa"/>
            <w:tcBorders>
              <w:top w:val="nil"/>
              <w:left w:val="double" w:sz="6" w:space="0" w:color="auto"/>
              <w:bottom w:val="single" w:sz="6" w:space="0" w:color="auto"/>
              <w:right w:val="single" w:sz="6" w:space="0" w:color="auto"/>
            </w:tcBorders>
          </w:tcPr>
          <w:p w:rsidR="00000000" w:rsidRDefault="00B4505B">
            <w:pPr>
              <w:jc w:val="center"/>
            </w:pPr>
            <w:r>
              <w:t>-0.40</w:t>
            </w:r>
          </w:p>
        </w:tc>
        <w:tc>
          <w:tcPr>
            <w:tcW w:w="1190" w:type="dxa"/>
            <w:tcBorders>
              <w:top w:val="nil"/>
              <w:left w:val="single" w:sz="6" w:space="0" w:color="auto"/>
              <w:bottom w:val="single" w:sz="6" w:space="0" w:color="auto"/>
              <w:right w:val="single" w:sz="6" w:space="0" w:color="auto"/>
            </w:tcBorders>
          </w:tcPr>
          <w:p w:rsidR="00000000" w:rsidRDefault="00B4505B">
            <w:pPr>
              <w:jc w:val="center"/>
            </w:pPr>
            <w:r>
              <w:t>-0.55</w:t>
            </w:r>
          </w:p>
        </w:tc>
      </w:tr>
    </w:tbl>
    <w:p w:rsidR="00000000" w:rsidRDefault="00B4505B">
      <w:pPr>
        <w:pStyle w:val="Table"/>
        <w:spacing w:before="240"/>
        <w:rPr>
          <w:sz w:val="24"/>
          <w:szCs w:val="24"/>
        </w:rPr>
      </w:pPr>
      <w:r>
        <w:rPr>
          <w:sz w:val="24"/>
          <w:szCs w:val="24"/>
        </w:rPr>
        <w:t xml:space="preserve"> </w:t>
      </w:r>
    </w:p>
    <w:p w:rsidR="00000000" w:rsidRDefault="00B4505B">
      <w:pPr>
        <w:pStyle w:val="Caption"/>
      </w:pPr>
      <w:r>
        <w:lastRenderedPageBreak/>
        <w:t xml:space="preserve">Table </w:t>
      </w:r>
      <w:bookmarkStart w:id="31" w:name="BMtable_halo_coords"/>
      <w:r>
        <w:t>1</w:t>
      </w:r>
      <w:bookmarkEnd w:id="31"/>
      <w:r>
        <w:t>: Fixed positions for the halo vortices.</w:t>
      </w:r>
      <w:r>
        <w:fldChar w:fldCharType="begin"/>
      </w:r>
      <w:r>
        <w:instrText>TC "1 Fixed positions for the halo vortices." \f t</w:instrText>
      </w:r>
      <w:r>
        <w:fldChar w:fldCharType="end"/>
      </w:r>
    </w:p>
    <w:p w:rsidR="00000000" w:rsidRDefault="00B4505B">
      <w:pPr>
        <w:spacing w:before="240"/>
        <w:ind w:firstLine="360"/>
      </w:pPr>
      <w:r>
        <w:t>It is useful to understand how each of the halo vortices influences the motion of the primary vortex. Since w</w:t>
      </w:r>
      <w:r>
        <w:t xml:space="preserve">e are considering the port side, all of the vortex circulations are clockwise. The halo vortex along the </w:t>
      </w:r>
      <w:r>
        <w:rPr>
          <w:i/>
          <w:iCs/>
        </w:rPr>
        <w:t>y</w:t>
      </w:r>
      <w:r>
        <w:t xml:space="preserve"> axis (blue symbols in Figure </w:t>
      </w:r>
      <w:fldSimple w:instr="REF BMfig_vort_positions \* MERGEFORMAT ">
        <w:r>
          <w:t>9</w:t>
        </w:r>
      </w:fldSimple>
      <w:r>
        <w:t>) induces a strictly downward velocity on the port primary vortex. It also i</w:t>
      </w:r>
      <w:r>
        <w:t xml:space="preserve">nduces a smaller, strictly downward velocity on the starboard primary vortex. The halo vortex above the </w:t>
      </w:r>
      <w:r>
        <w:rPr>
          <w:i/>
          <w:iCs/>
        </w:rPr>
        <w:t>y</w:t>
      </w:r>
      <w:r>
        <w:t xml:space="preserve"> axis (red symbols in Figure </w:t>
      </w:r>
      <w:fldSimple w:instr="REF BMfig_vort_positions \* MERGEFORMAT ">
        <w:r>
          <w:t>9</w:t>
        </w:r>
      </w:fldSimple>
      <w:r>
        <w:t>) induces a flow up and to the left at the position of the port vortex. It als</w:t>
      </w:r>
      <w:r>
        <w:t xml:space="preserve">o induces a weaker flow downward and to the left at the position of the starboard vortex. Finally the halo vortex below the </w:t>
      </w:r>
      <w:r>
        <w:rPr>
          <w:i/>
          <w:iCs/>
        </w:rPr>
        <w:t>y</w:t>
      </w:r>
      <w:r>
        <w:t xml:space="preserve"> axis induces a flow upward and to the right on the port vortex and a weaker flow downward and to the right on the starboard vortex</w:t>
      </w:r>
      <w:r>
        <w:t xml:space="preserve">. The upshot of all of this is that the lateral motion of the primary vortices is controlled by the two halo vortices above and below the </w:t>
      </w:r>
      <w:r>
        <w:rPr>
          <w:i/>
          <w:iCs/>
        </w:rPr>
        <w:t>y</w:t>
      </w:r>
      <w:r>
        <w:t xml:space="preserve"> axis, whereas the vertical motion is largely controlled the vortex on the </w:t>
      </w:r>
      <w:r>
        <w:rPr>
          <w:i/>
          <w:iCs/>
        </w:rPr>
        <w:t>y</w:t>
      </w:r>
      <w:r>
        <w:t xml:space="preserve"> axis.</w:t>
      </w:r>
    </w:p>
    <w:p w:rsidR="00000000" w:rsidRDefault="00B4505B">
      <w:pPr>
        <w:ind w:firstLine="360"/>
      </w:pPr>
      <w:r>
        <w:t>With the positions of the halo vor</w:t>
      </w:r>
      <w:r>
        <w:t>tices determined, the next task is to specify how their circulations change in time. We accomplish this in a two-step procedure where the total halo circulation is estimated first and then this circulation is partitioned among the three halo vortices.</w:t>
      </w:r>
    </w:p>
    <w:p w:rsidR="00000000" w:rsidRDefault="00B4505B">
      <w:pPr>
        <w:ind w:firstLine="360"/>
      </w:pPr>
      <w:r>
        <w:t>If it were not for the mutual destruction of circulation near the symmetry line, the total circulation contained on each half plane would be constant in time in an unstratified environment. Instead of attempting to model the rate of circulation destruction</w:t>
      </w:r>
      <w:r>
        <w:t xml:space="preserve">, we turn instead to the following simple ansatz that considers the lost circulation to be proportional to the total available circulation in the halo </w:t>
      </w:r>
    </w:p>
    <w:p w:rsidR="00000000" w:rsidRDefault="00B4505B">
      <w:pPr>
        <w:pStyle w:val="equationNum"/>
        <w:tabs>
          <w:tab w:val="center" w:pos="4336"/>
          <w:tab w:val="right" w:pos="8672"/>
        </w:tabs>
      </w:pPr>
      <w:r>
        <w:tab/>
      </w:r>
      <w:r>
        <w:fldChar w:fldCharType="begin"/>
      </w:r>
      <w:r>
        <w:instrText xml:space="preserve"> EQ </w:instrText>
      </w:r>
      <w:r>
        <w:instrText>Γ</w:instrText>
      </w:r>
      <w:r>
        <w:instrText>\s\do6(</w:instrText>
      </w:r>
      <w:r>
        <w:rPr>
          <w:i/>
          <w:iCs/>
          <w:sz w:val="20"/>
          <w:szCs w:val="20"/>
        </w:rPr>
        <w:instrText>h</w:instrText>
      </w:r>
      <w:r>
        <w:instrText>)(</w:instrText>
      </w:r>
      <w:r>
        <w:rPr>
          <w:i/>
          <w:iCs/>
        </w:rPr>
        <w:instrText>t</w:instrText>
      </w:r>
      <w:r>
        <w:instrText>)=[</w:instrText>
      </w:r>
      <w:r>
        <w:rPr>
          <w:sz w:val="18"/>
          <w:szCs w:val="18"/>
        </w:rPr>
        <w:instrText xml:space="preserve"> </w:instrText>
      </w:r>
      <w:r>
        <w:instrText>Γ</w:instrText>
      </w:r>
      <w:r>
        <w:instrText>\s\up(</w:instrText>
      </w:r>
      <w:r>
        <w:rPr>
          <w:sz w:val="20"/>
          <w:szCs w:val="20"/>
        </w:rPr>
        <w:instrText>0,</w:instrText>
      </w:r>
      <w:r>
        <w:rPr>
          <w:sz w:val="20"/>
          <w:szCs w:val="20"/>
        </w:rPr>
        <w:instrText>∞</w:instrText>
      </w:r>
      <w:r>
        <w:instrText>)</w:instrText>
      </w:r>
      <w:r>
        <w:instrText>−</w:instrText>
      </w:r>
      <w:r>
        <w:instrText>Γ</w:instrText>
      </w:r>
      <w:r>
        <w:instrText>\s\do6(</w:instrText>
      </w:r>
      <w:r>
        <w:rPr>
          <w:i/>
          <w:iCs/>
          <w:sz w:val="20"/>
          <w:szCs w:val="20"/>
        </w:rPr>
        <w:instrText>c</w:instrText>
      </w:r>
      <w:r>
        <w:instrText>)(</w:instrText>
      </w:r>
      <w:r>
        <w:rPr>
          <w:i/>
          <w:iCs/>
        </w:rPr>
        <w:instrText>t</w:instrText>
      </w:r>
      <w:r>
        <w:instrText>)</w:instrText>
      </w:r>
      <w:r>
        <w:rPr>
          <w:sz w:val="18"/>
          <w:szCs w:val="18"/>
        </w:rPr>
        <w:instrText xml:space="preserve"> </w:instrText>
      </w:r>
      <w:r>
        <w:instrText>]</w:instrText>
      </w:r>
      <w:r>
        <w:rPr>
          <w:i/>
          <w:iCs/>
        </w:rPr>
        <w:instrText>F</w:instrText>
      </w:r>
      <w:r>
        <w:instrText>(</w:instrText>
      </w:r>
      <w:r>
        <w:rPr>
          <w:i/>
          <w:iCs/>
        </w:rPr>
        <w:instrText>t</w:instrText>
      </w:r>
      <w:r>
        <w:instrText>)</w:instrText>
      </w:r>
      <w:r>
        <w:fldChar w:fldCharType="end"/>
      </w:r>
      <w:r>
        <w:tab/>
        <w:t>(</w:t>
      </w:r>
      <w:bookmarkStart w:id="32" w:name="BMeq_halo_circ"/>
      <w:r>
        <w:t>23</w:t>
      </w:r>
      <w:bookmarkEnd w:id="32"/>
      <w:r>
        <w:t>)</w:t>
      </w:r>
    </w:p>
    <w:p w:rsidR="00000000" w:rsidRDefault="00B4505B">
      <w:r>
        <w:t xml:space="preserve">where </w:t>
      </w:r>
      <w:r>
        <w:fldChar w:fldCharType="begin"/>
      </w:r>
      <w:r>
        <w:instrText xml:space="preserve"> EQ </w:instrText>
      </w:r>
      <w:r>
        <w:instrText>Γ</w:instrText>
      </w:r>
      <w:r>
        <w:instrText>\s\do</w:instrText>
      </w:r>
      <w:r>
        <w:instrText>6(</w:instrText>
      </w:r>
      <w:r>
        <w:rPr>
          <w:i/>
          <w:iCs/>
          <w:sz w:val="20"/>
          <w:szCs w:val="20"/>
        </w:rPr>
        <w:instrText>c</w:instrText>
      </w:r>
      <w:r>
        <w:instrText>)(</w:instrText>
      </w:r>
      <w:r>
        <w:rPr>
          <w:i/>
          <w:iCs/>
        </w:rPr>
        <w:instrText>t</w:instrText>
      </w:r>
      <w:r>
        <w:instrText>)</w:instrText>
      </w:r>
      <w:r>
        <w:fldChar w:fldCharType="end"/>
      </w:r>
      <w:r>
        <w:t xml:space="preserve"> is the primary vortex circulation computed about the 15 m circle and </w:t>
      </w:r>
      <w:r>
        <w:rPr>
          <w:i/>
          <w:iCs/>
        </w:rPr>
        <w:t>F</w:t>
      </w:r>
      <w:r>
        <w:t>(</w:t>
      </w:r>
      <w:r>
        <w:rPr>
          <w:i/>
          <w:iCs/>
        </w:rPr>
        <w:t>t</w:t>
      </w:r>
      <w:r>
        <w:t xml:space="preserve">) is an attenuation function that accounts for circulation destruction near the symmetry line. If F(t)=0, no circulation is lost. Similarly if </w:t>
      </w:r>
      <w:r>
        <w:rPr>
          <w:i/>
          <w:iCs/>
        </w:rPr>
        <w:t>F</w:t>
      </w:r>
      <w:r>
        <w:t>(</w:t>
      </w:r>
      <w:r>
        <w:rPr>
          <w:i/>
          <w:iCs/>
        </w:rPr>
        <w:t>t</w:t>
      </w:r>
      <w:r>
        <w:t>)=0.5</w:t>
      </w:r>
      <w:r>
        <w:t xml:space="preserve"> then half the available circulation is lost to destruction along the symmetry line.</w:t>
      </w:r>
    </w:p>
    <w:p w:rsidR="00000000" w:rsidRDefault="00B4505B">
      <w:pPr>
        <w:ind w:firstLine="360"/>
      </w:pPr>
      <w:r>
        <w:t xml:space="preserve">The numerical simulation data showed the attenuation function to be a nice smooth function that is well approximated by the following simple quadratic form </w:t>
      </w:r>
    </w:p>
    <w:p w:rsidR="00000000" w:rsidRDefault="00B4505B">
      <w:pPr>
        <w:pStyle w:val="equationNum"/>
        <w:tabs>
          <w:tab w:val="center" w:pos="4336"/>
          <w:tab w:val="right" w:pos="8672"/>
        </w:tabs>
      </w:pPr>
      <w:r>
        <w:tab/>
      </w:r>
      <w:r>
        <w:fldChar w:fldCharType="begin"/>
      </w:r>
      <w:r>
        <w:instrText xml:space="preserve"> EQ </w:instrText>
      </w:r>
      <w:r>
        <w:rPr>
          <w:i/>
          <w:iCs/>
        </w:rPr>
        <w:instrText>F</w:instrText>
      </w:r>
      <w:r>
        <w:instrText>(</w:instrText>
      </w:r>
      <w:r>
        <w:rPr>
          <w:i/>
          <w:iCs/>
        </w:rPr>
        <w:instrText>t</w:instrText>
      </w:r>
      <w:r>
        <w:instrText>)=0.8</w:instrText>
      </w:r>
      <w:r>
        <w:instrText>−</w:instrText>
      </w:r>
      <w:r>
        <w:instrText>0.05</w:instrText>
      </w:r>
      <w:r>
        <w:rPr>
          <w:i/>
          <w:iCs/>
        </w:rPr>
        <w:instrText>t</w:instrText>
      </w:r>
      <w:r>
        <w:instrText>\s\up6(</w:instrText>
      </w:r>
      <w:r>
        <w:rPr>
          <w:sz w:val="20"/>
          <w:szCs w:val="20"/>
        </w:rPr>
        <w:instrText>*</w:instrText>
      </w:r>
      <w:r>
        <w:instrText>)+0.002</w:instrText>
      </w:r>
      <w:r>
        <w:rPr>
          <w:i/>
          <w:iCs/>
        </w:rPr>
        <w:instrText>t</w:instrText>
      </w:r>
      <w:r>
        <w:instrText>\s\up6(</w:instrText>
      </w:r>
      <w:r>
        <w:rPr>
          <w:sz w:val="20"/>
          <w:szCs w:val="20"/>
        </w:rPr>
        <w:instrText>*</w:instrText>
      </w:r>
      <w:r>
        <w:instrText>)\s\up6(</w:instrText>
      </w:r>
      <w:r>
        <w:rPr>
          <w:sz w:val="20"/>
          <w:szCs w:val="20"/>
        </w:rPr>
        <w:instrText>2</w:instrText>
      </w:r>
      <w:r>
        <w:instrText>)</w:instrText>
      </w:r>
      <w:r>
        <w:fldChar w:fldCharType="end"/>
      </w:r>
      <w:r>
        <w:tab/>
        <w:t>(</w:t>
      </w:r>
      <w:bookmarkStart w:id="33" w:name="BMeq_atten_fac"/>
      <w:r>
        <w:t>24</w:t>
      </w:r>
      <w:bookmarkEnd w:id="33"/>
      <w:r>
        <w:t>)</w:t>
      </w:r>
    </w:p>
    <w:p w:rsidR="00000000" w:rsidRDefault="00B4505B">
      <w:r>
        <w:t xml:space="preserve">where </w:t>
      </w:r>
      <w:r>
        <w:fldChar w:fldCharType="begin"/>
      </w:r>
      <w:r>
        <w:instrText xml:space="preserve"> EQ </w:instrText>
      </w:r>
      <w:r>
        <w:rPr>
          <w:i/>
          <w:iCs/>
        </w:rPr>
        <w:instrText>t</w:instrText>
      </w:r>
      <w:r>
        <w:instrText>\s\up6(</w:instrText>
      </w:r>
      <w:r>
        <w:rPr>
          <w:sz w:val="20"/>
          <w:szCs w:val="20"/>
        </w:rPr>
        <w:instrText>*</w:instrText>
      </w:r>
      <w:r>
        <w:instrText>)=</w:instrText>
      </w:r>
      <w:r>
        <w:rPr>
          <w:i/>
          <w:iCs/>
        </w:rPr>
        <w:instrText>w</w:instrText>
      </w:r>
      <w:r>
        <w:instrText>\s\do6(</w:instrText>
      </w:r>
      <w:r>
        <w:rPr>
          <w:sz w:val="20"/>
          <w:szCs w:val="20"/>
        </w:rPr>
        <w:instrText>0</w:instrText>
      </w:r>
      <w:r>
        <w:instrText>)</w:instrText>
      </w:r>
      <w:r>
        <w:rPr>
          <w:i/>
          <w:iCs/>
        </w:rPr>
        <w:instrText>t</w:instrText>
      </w:r>
      <w:r>
        <w:instrText>/</w:instrText>
      </w:r>
      <w:r>
        <w:rPr>
          <w:i/>
          <w:iCs/>
        </w:rPr>
        <w:instrText>b</w:instrText>
      </w:r>
      <w:r>
        <w:instrText>\s\do6(</w:instrText>
      </w:r>
      <w:r>
        <w:rPr>
          <w:sz w:val="20"/>
          <w:szCs w:val="20"/>
        </w:rPr>
        <w:instrText>0</w:instrText>
      </w:r>
      <w:r>
        <w:instrText>)</w:instrText>
      </w:r>
      <w:r>
        <w:fldChar w:fldCharType="end"/>
      </w:r>
      <w:r>
        <w:t xml:space="preserve"> is the non-dimensional time. The success of this fit is demonstrated in Figure </w:t>
      </w:r>
      <w:fldSimple w:instr="REF BMfig_est_halo_circ \* MERGEFORMAT ">
        <w:r>
          <w:t>10</w:t>
        </w:r>
      </w:fldSimple>
      <w:r>
        <w:t>.</w:t>
      </w:r>
    </w:p>
    <w:p w:rsidR="00000000" w:rsidRDefault="00B4505B">
      <w:pPr>
        <w:pStyle w:val="Figure"/>
        <w:spacing w:before="240"/>
        <w:ind w:firstLine="360"/>
        <w:rPr>
          <w:sz w:val="24"/>
          <w:szCs w:val="24"/>
        </w:rPr>
      </w:pPr>
    </w:p>
    <w:p w:rsidR="00000000" w:rsidRDefault="00B4505B">
      <w:pPr>
        <w:pStyle w:val="centerpar"/>
        <w:ind w:firstLine="360"/>
      </w:pPr>
      <w:r>
        <w:lastRenderedPageBreak/>
        <w:drawing>
          <wp:inline distT="0" distB="0" distL="0" distR="0">
            <wp:extent cx="4114800" cy="28829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4114800" cy="2882900"/>
                    </a:xfrm>
                    <a:prstGeom prst="rect">
                      <a:avLst/>
                    </a:prstGeom>
                    <a:noFill/>
                    <a:ln w="9525">
                      <a:noFill/>
                      <a:miter lim="800000"/>
                      <a:headEnd/>
                      <a:tailEnd/>
                    </a:ln>
                  </pic:spPr>
                </pic:pic>
              </a:graphicData>
            </a:graphic>
          </wp:inline>
        </w:drawing>
      </w:r>
      <w:r>
        <w:t xml:space="preserve"> </w:t>
      </w:r>
    </w:p>
    <w:p w:rsidR="00000000" w:rsidRDefault="00B4505B">
      <w:pPr>
        <w:pStyle w:val="Caption"/>
      </w:pPr>
      <w:r>
        <w:t xml:space="preserve">Figure </w:t>
      </w:r>
      <w:bookmarkStart w:id="34" w:name="BMfig_est_halo_circ"/>
      <w:r>
        <w:t>10</w:t>
      </w:r>
      <w:bookmarkEnd w:id="34"/>
      <w:r>
        <w:t>: Comparison of estimated and measured total halo circulation for the unstratified simulation.</w:t>
      </w:r>
      <w:r>
        <w:fldChar w:fldCharType="begin"/>
      </w:r>
      <w:r>
        <w:instrText>TC "10 Comparison of estimated and measured total halo circulation for the unstratifie</w:instrText>
      </w:r>
      <w:r>
        <w:instrText>d simulation." \f f</w:instrText>
      </w:r>
      <w:r>
        <w:fldChar w:fldCharType="end"/>
      </w:r>
    </w:p>
    <w:p w:rsidR="00000000" w:rsidRDefault="00B4505B">
      <w:pPr>
        <w:spacing w:before="240"/>
        <w:ind w:firstLine="360"/>
      </w:pPr>
      <w:r>
        <w:t>With an estimate of the total halo circulation in hand, the only remaining detail is to prescribe how this circulation is partitioned among the three halo vortices on each side of the wake oval. Since the sum of the three vortex circu</w:t>
      </w:r>
      <w:r>
        <w:t xml:space="preserve">lations is known, it is only necessary to predict circulation levels for two of them. We choose to estimate the strengths of vortices 1 and 2 in Figure </w:t>
      </w:r>
      <w:fldSimple w:instr="REF BMfig_vort_positions \* MERGEFORMAT ">
        <w:r>
          <w:t>9</w:t>
        </w:r>
      </w:fldSimple>
      <w:r>
        <w:t xml:space="preserve"> and these are well represented by hyperbolic tangent interp</w:t>
      </w:r>
      <w:r>
        <w:t xml:space="preserve">olants of the following form </w:t>
      </w:r>
    </w:p>
    <w:p w:rsidR="00000000" w:rsidRDefault="00B4505B">
      <w:pPr>
        <w:pStyle w:val="equationNum"/>
        <w:tabs>
          <w:tab w:val="center" w:pos="4336"/>
          <w:tab w:val="right" w:pos="8672"/>
        </w:tabs>
      </w:pPr>
      <w:r>
        <w:tab/>
      </w:r>
      <w:r>
        <w:fldChar w:fldCharType="begin"/>
      </w:r>
      <w:r>
        <w:instrText xml:space="preserve"> EQ </w:instrText>
      </w:r>
      <w:r>
        <w:rPr>
          <w:i/>
          <w:iCs/>
        </w:rPr>
        <w:instrText>f</w:instrText>
      </w:r>
      <w:r>
        <w:instrText>\s\do6(</w:instrText>
      </w:r>
      <w:r>
        <w:rPr>
          <w:i/>
          <w:iCs/>
          <w:sz w:val="20"/>
          <w:szCs w:val="20"/>
        </w:rPr>
        <w:instrText>i</w:instrText>
      </w:r>
      <w:r>
        <w:instrText>)=</w:instrText>
      </w:r>
      <w:r>
        <w:rPr>
          <w:i/>
          <w:iCs/>
        </w:rPr>
        <w:instrText>f</w:instrText>
      </w:r>
      <w:r>
        <w:instrText>\s\do6(</w:instrText>
      </w:r>
      <w:r>
        <w:rPr>
          <w:i/>
          <w:iCs/>
          <w:sz w:val="20"/>
          <w:szCs w:val="20"/>
        </w:rPr>
        <w:instrText>i</w:instrText>
      </w:r>
      <w:r>
        <w:rPr>
          <w:sz w:val="20"/>
          <w:szCs w:val="20"/>
        </w:rPr>
        <w:instrText>0</w:instrText>
      </w:r>
      <w:r>
        <w:instrText>)+ \F(1,2)(</w:instrText>
      </w:r>
      <w:r>
        <w:rPr>
          <w:i/>
          <w:iCs/>
        </w:rPr>
        <w:instrText>f</w:instrText>
      </w:r>
      <w:r>
        <w:instrText>\s\do6(</w:instrText>
      </w:r>
      <w:r>
        <w:rPr>
          <w:i/>
          <w:iCs/>
          <w:sz w:val="20"/>
          <w:szCs w:val="20"/>
        </w:rPr>
        <w:instrText>i</w:instrText>
      </w:r>
      <w:r>
        <w:rPr>
          <w:sz w:val="20"/>
          <w:szCs w:val="20"/>
        </w:rPr>
        <w:instrText>1</w:instrText>
      </w:r>
      <w:r>
        <w:instrText>)</w:instrText>
      </w:r>
      <w:r>
        <w:instrText>−</w:instrText>
      </w:r>
      <w:r>
        <w:rPr>
          <w:i/>
          <w:iCs/>
        </w:rPr>
        <w:instrText>f</w:instrText>
      </w:r>
      <w:r>
        <w:instrText>\s\do6(</w:instrText>
      </w:r>
      <w:r>
        <w:rPr>
          <w:i/>
          <w:iCs/>
          <w:sz w:val="20"/>
          <w:szCs w:val="20"/>
        </w:rPr>
        <w:instrText>i</w:instrText>
      </w:r>
      <w:r>
        <w:rPr>
          <w:sz w:val="20"/>
          <w:szCs w:val="20"/>
        </w:rPr>
        <w:instrText>0</w:instrText>
      </w:r>
      <w:r>
        <w:instrText>)) \b \bc\{ (1+tanh \b \bc\[ (2.5 \b ( \F(</w:instrText>
      </w:r>
      <w:r>
        <w:rPr>
          <w:i/>
          <w:iCs/>
        </w:rPr>
        <w:instrText>t</w:instrText>
      </w:r>
      <w:r>
        <w:instrText>\s\up6(</w:instrText>
      </w:r>
      <w:r>
        <w:rPr>
          <w:sz w:val="20"/>
          <w:szCs w:val="20"/>
        </w:rPr>
        <w:instrText>*</w:instrText>
      </w:r>
      <w:r>
        <w:instrText>)</w:instrText>
      </w:r>
      <w:r>
        <w:instrText>−</w:instrText>
      </w:r>
      <w:r>
        <w:rPr>
          <w:i/>
          <w:iCs/>
        </w:rPr>
        <w:instrText>t</w:instrText>
      </w:r>
      <w:r>
        <w:instrText>\s\up(</w:instrText>
      </w:r>
      <w:r>
        <w:rPr>
          <w:sz w:val="20"/>
          <w:szCs w:val="20"/>
        </w:rPr>
        <w:instrText>*,</w:instrText>
      </w:r>
      <w:r>
        <w:rPr>
          <w:i/>
          <w:iCs/>
          <w:sz w:val="20"/>
          <w:szCs w:val="20"/>
        </w:rPr>
        <w:instrText>i</w:instrText>
      </w:r>
      <w:r>
        <w:instrText>),</w:instrText>
      </w:r>
      <w:r>
        <w:rPr>
          <w:i/>
          <w:iCs/>
        </w:rPr>
        <w:instrText>t</w:instrText>
      </w:r>
      <w:r>
        <w:instrText>\s\up(</w:instrText>
      </w:r>
      <w:r>
        <w:rPr>
          <w:sz w:val="20"/>
          <w:szCs w:val="20"/>
        </w:rPr>
        <w:instrText>*,</w:instrText>
      </w:r>
      <w:r>
        <w:rPr>
          <w:i/>
          <w:iCs/>
          <w:sz w:val="20"/>
          <w:szCs w:val="20"/>
        </w:rPr>
        <w:instrText>w</w:instrText>
      </w:r>
      <w:r>
        <w:instrText>)\s\do6(</w:instrText>
      </w:r>
      <w:r>
        <w:rPr>
          <w:i/>
          <w:iCs/>
          <w:sz w:val="20"/>
          <w:szCs w:val="20"/>
        </w:rPr>
        <w:instrText>i</w:instrText>
      </w:r>
      <w:r>
        <w:instrText xml:space="preserve">)))));      </w:instrText>
      </w:r>
      <w:r>
        <w:rPr>
          <w:i/>
          <w:iCs/>
        </w:rPr>
        <w:instrText>i</w:instrText>
      </w:r>
      <w:r>
        <w:instrText>=1\,2</w:instrText>
      </w:r>
      <w:r>
        <w:fldChar w:fldCharType="end"/>
      </w:r>
      <w:r>
        <w:tab/>
        <w:t>(</w:t>
      </w:r>
      <w:bookmarkStart w:id="35" w:name="BMeq_partition"/>
      <w:r>
        <w:t>25</w:t>
      </w:r>
      <w:bookmarkEnd w:id="35"/>
      <w:r>
        <w:t>)</w:t>
      </w:r>
    </w:p>
    <w:p w:rsidR="00000000" w:rsidRDefault="00B4505B">
      <w:r>
        <w:t xml:space="preserve">where </w:t>
      </w:r>
      <w:r>
        <w:fldChar w:fldCharType="begin"/>
      </w:r>
      <w:r>
        <w:instrText xml:space="preserve"> EQ </w:instrText>
      </w:r>
      <w:r>
        <w:rPr>
          <w:i/>
          <w:iCs/>
        </w:rPr>
        <w:instrText>f</w:instrText>
      </w:r>
      <w:r>
        <w:instrText>\s\do6(</w:instrText>
      </w:r>
      <w:r>
        <w:rPr>
          <w:i/>
          <w:iCs/>
          <w:sz w:val="20"/>
          <w:szCs w:val="20"/>
        </w:rPr>
        <w:instrText>i</w:instrText>
      </w:r>
      <w:r>
        <w:rPr>
          <w:sz w:val="20"/>
          <w:szCs w:val="20"/>
        </w:rPr>
        <w:instrText>0</w:instrText>
      </w:r>
      <w:r>
        <w:instrText>)</w:instrText>
      </w:r>
      <w:r>
        <w:fldChar w:fldCharType="end"/>
      </w:r>
      <w:r>
        <w:t xml:space="preserve">, </w:t>
      </w:r>
      <w:r>
        <w:fldChar w:fldCharType="begin"/>
      </w:r>
      <w:r>
        <w:instrText xml:space="preserve"> EQ </w:instrText>
      </w:r>
      <w:r>
        <w:rPr>
          <w:i/>
          <w:iCs/>
        </w:rPr>
        <w:instrText>f</w:instrText>
      </w:r>
      <w:r>
        <w:instrText>\s\do6(</w:instrText>
      </w:r>
      <w:r>
        <w:rPr>
          <w:i/>
          <w:iCs/>
          <w:sz w:val="20"/>
          <w:szCs w:val="20"/>
        </w:rPr>
        <w:instrText>i</w:instrText>
      </w:r>
      <w:r>
        <w:rPr>
          <w:sz w:val="20"/>
          <w:szCs w:val="20"/>
        </w:rPr>
        <w:instrText>1</w:instrText>
      </w:r>
      <w:r>
        <w:instrText>)</w:instrText>
      </w:r>
      <w:r>
        <w:fldChar w:fldCharType="end"/>
      </w:r>
      <w:r>
        <w:t xml:space="preserve">, </w:t>
      </w:r>
      <w:r>
        <w:fldChar w:fldCharType="begin"/>
      </w:r>
      <w:r>
        <w:instrText xml:space="preserve"> EQ </w:instrText>
      </w:r>
      <w:r>
        <w:rPr>
          <w:i/>
          <w:iCs/>
        </w:rPr>
        <w:instrText>t</w:instrText>
      </w:r>
      <w:r>
        <w:instrText>\s\up(</w:instrText>
      </w:r>
      <w:r>
        <w:rPr>
          <w:sz w:val="20"/>
          <w:szCs w:val="20"/>
        </w:rPr>
        <w:instrText>*,</w:instrText>
      </w:r>
      <w:r>
        <w:rPr>
          <w:i/>
          <w:iCs/>
          <w:sz w:val="20"/>
          <w:szCs w:val="20"/>
        </w:rPr>
        <w:instrText>i</w:instrText>
      </w:r>
      <w:r>
        <w:instrText>)</w:instrText>
      </w:r>
      <w:r>
        <w:fldChar w:fldCharType="end"/>
      </w:r>
      <w:r>
        <w:t xml:space="preserve">, and </w:t>
      </w:r>
      <w:r>
        <w:fldChar w:fldCharType="begin"/>
      </w:r>
      <w:r>
        <w:instrText xml:space="preserve"> EQ </w:instrText>
      </w:r>
      <w:r>
        <w:rPr>
          <w:i/>
          <w:iCs/>
        </w:rPr>
        <w:instrText>t</w:instrText>
      </w:r>
      <w:r>
        <w:instrText>\s\up(</w:instrText>
      </w:r>
      <w:r>
        <w:rPr>
          <w:sz w:val="20"/>
          <w:szCs w:val="20"/>
        </w:rPr>
        <w:instrText>*,</w:instrText>
      </w:r>
      <w:r>
        <w:rPr>
          <w:i/>
          <w:iCs/>
          <w:sz w:val="20"/>
          <w:szCs w:val="20"/>
        </w:rPr>
        <w:instrText>w</w:instrText>
      </w:r>
      <w:r>
        <w:instrText>)\s\do6(</w:instrText>
      </w:r>
      <w:r>
        <w:rPr>
          <w:i/>
          <w:iCs/>
          <w:sz w:val="20"/>
          <w:szCs w:val="20"/>
        </w:rPr>
        <w:instrText>i</w:instrText>
      </w:r>
      <w:r>
        <w:instrText>)</w:instrText>
      </w:r>
      <w:r>
        <w:fldChar w:fldCharType="end"/>
      </w:r>
      <w:r>
        <w:t xml:space="preserve">, </w:t>
      </w:r>
      <w:r>
        <w:rPr>
          <w:i/>
          <w:iCs/>
        </w:rPr>
        <w:t>i</w:t>
      </w:r>
      <w:r>
        <w:t xml:space="preserve">=1,2 are fit constants to be determined. The hyperbolic tangent fits simply transition the partition fraction from a value of </w:t>
      </w:r>
      <w:r>
        <w:fldChar w:fldCharType="begin"/>
      </w:r>
      <w:r>
        <w:instrText xml:space="preserve"> EQ </w:instrText>
      </w:r>
      <w:r>
        <w:rPr>
          <w:rFonts w:ascii="Cambria Math" w:hAnsi="Cambria Math" w:cs="Cambria Math"/>
        </w:rPr>
        <w:instrText>∼</w:instrText>
      </w:r>
      <w:r>
        <w:rPr>
          <w:i/>
          <w:iCs/>
        </w:rPr>
        <w:instrText>f</w:instrText>
      </w:r>
      <w:r>
        <w:instrText>\s\do6(</w:instrText>
      </w:r>
      <w:r>
        <w:rPr>
          <w:i/>
          <w:iCs/>
          <w:sz w:val="20"/>
          <w:szCs w:val="20"/>
        </w:rPr>
        <w:instrText>i</w:instrText>
      </w:r>
      <w:r>
        <w:rPr>
          <w:sz w:val="20"/>
          <w:szCs w:val="20"/>
        </w:rPr>
        <w:instrText>0</w:instrText>
      </w:r>
      <w:r>
        <w:instrText>)</w:instrText>
      </w:r>
      <w:r>
        <w:fldChar w:fldCharType="end"/>
      </w:r>
      <w:r>
        <w:t xml:space="preserve"> at </w:t>
      </w:r>
      <w:r>
        <w:rPr>
          <w:i/>
          <w:iCs/>
        </w:rPr>
        <w:t>t</w:t>
      </w:r>
      <w:r>
        <w:t xml:space="preserve">=0 to a value of </w:t>
      </w:r>
      <w:r>
        <w:fldChar w:fldCharType="begin"/>
      </w:r>
      <w:r>
        <w:instrText xml:space="preserve"> EQ </w:instrText>
      </w:r>
      <w:r>
        <w:rPr>
          <w:i/>
          <w:iCs/>
        </w:rPr>
        <w:instrText>f</w:instrText>
      </w:r>
      <w:r>
        <w:instrText>\s\do6(</w:instrText>
      </w:r>
      <w:r>
        <w:rPr>
          <w:i/>
          <w:iCs/>
          <w:sz w:val="20"/>
          <w:szCs w:val="20"/>
        </w:rPr>
        <w:instrText>i</w:instrText>
      </w:r>
      <w:r>
        <w:rPr>
          <w:sz w:val="20"/>
          <w:szCs w:val="20"/>
        </w:rPr>
        <w:instrText>1</w:instrText>
      </w:r>
      <w:r>
        <w:instrText>)</w:instrText>
      </w:r>
      <w:r>
        <w:fldChar w:fldCharType="end"/>
      </w:r>
      <w:r>
        <w:t xml:space="preserve"> at </w:t>
      </w:r>
      <w:r>
        <w:fldChar w:fldCharType="begin"/>
      </w:r>
      <w:r>
        <w:instrText xml:space="preserve"> E</w:instrText>
      </w:r>
      <w:r>
        <w:instrText xml:space="preserve">Q </w:instrText>
      </w:r>
      <w:r>
        <w:rPr>
          <w:i/>
          <w:iCs/>
        </w:rPr>
        <w:instrText>t</w:instrText>
      </w:r>
      <w:r>
        <w:instrText>→∞</w:instrText>
      </w:r>
      <w:r>
        <w:fldChar w:fldCharType="end"/>
      </w:r>
      <w:r>
        <w:t xml:space="preserve">, over a time of </w:t>
      </w:r>
      <w:r>
        <w:fldChar w:fldCharType="begin"/>
      </w:r>
      <w:r>
        <w:instrText xml:space="preserve"> EQ </w:instrText>
      </w:r>
      <w:r>
        <w:rPr>
          <w:rFonts w:ascii="Cambria Math" w:hAnsi="Cambria Math" w:cs="Cambria Math"/>
        </w:rPr>
        <w:instrText>∼</w:instrText>
      </w:r>
      <w:r>
        <w:rPr>
          <w:i/>
          <w:iCs/>
        </w:rPr>
        <w:instrText>t</w:instrText>
      </w:r>
      <w:r>
        <w:instrText>\s\up(</w:instrText>
      </w:r>
      <w:r>
        <w:rPr>
          <w:sz w:val="20"/>
          <w:szCs w:val="20"/>
        </w:rPr>
        <w:instrText>*,</w:instrText>
      </w:r>
      <w:r>
        <w:rPr>
          <w:i/>
          <w:iCs/>
          <w:sz w:val="20"/>
          <w:szCs w:val="20"/>
        </w:rPr>
        <w:instrText>w</w:instrText>
      </w:r>
      <w:r>
        <w:instrText>)\s\do6(</w:instrText>
      </w:r>
      <w:r>
        <w:rPr>
          <w:i/>
          <w:iCs/>
          <w:sz w:val="20"/>
          <w:szCs w:val="20"/>
        </w:rPr>
        <w:instrText>i</w:instrText>
      </w:r>
      <w:r>
        <w:instrText>)</w:instrText>
      </w:r>
      <w:r>
        <w:fldChar w:fldCharType="end"/>
      </w:r>
      <w:r>
        <w:t xml:space="preserve">, centered at time </w:t>
      </w:r>
      <w:r>
        <w:fldChar w:fldCharType="begin"/>
      </w:r>
      <w:r>
        <w:instrText xml:space="preserve"> EQ </w:instrText>
      </w:r>
      <w:r>
        <w:rPr>
          <w:i/>
          <w:iCs/>
        </w:rPr>
        <w:instrText>t</w:instrText>
      </w:r>
      <w:r>
        <w:instrText>\s\up(</w:instrText>
      </w:r>
      <w:r>
        <w:rPr>
          <w:sz w:val="20"/>
          <w:szCs w:val="20"/>
        </w:rPr>
        <w:instrText>*,</w:instrText>
      </w:r>
      <w:r>
        <w:rPr>
          <w:i/>
          <w:iCs/>
          <w:sz w:val="20"/>
          <w:szCs w:val="20"/>
        </w:rPr>
        <w:instrText>i</w:instrText>
      </w:r>
      <w:r>
        <w:instrText>)</w:instrText>
      </w:r>
      <w:r>
        <w:fldChar w:fldCharType="end"/>
      </w:r>
      <w:r>
        <w:t>.</w:t>
      </w:r>
    </w:p>
    <w:p w:rsidR="00000000" w:rsidRDefault="00B4505B">
      <w:pPr>
        <w:ind w:firstLine="360"/>
      </w:pPr>
      <w:r>
        <w:t xml:space="preserve">The partition fractions are used in the following logical way </w:t>
      </w:r>
    </w:p>
    <w:p w:rsidR="00000000" w:rsidRDefault="00B4505B">
      <w:pPr>
        <w:pStyle w:val="equationArrayNum"/>
        <w:tabs>
          <w:tab w:val="right" w:pos="3902"/>
          <w:tab w:val="center" w:pos="4336"/>
          <w:tab w:val="left" w:pos="4769"/>
          <w:tab w:val="right" w:pos="8672"/>
        </w:tabs>
      </w:pPr>
      <w:r>
        <w:tab/>
      </w:r>
      <w:r>
        <w:fldChar w:fldCharType="begin"/>
      </w:r>
      <w:r>
        <w:instrText xml:space="preserve"> EQ </w:instrText>
      </w:r>
      <w:r>
        <w:instrText>Γ</w:instrText>
      </w:r>
      <w:r>
        <w:instrText>\s\do6(</w:instrText>
      </w:r>
      <w:r>
        <w:rPr>
          <w:sz w:val="20"/>
          <w:szCs w:val="20"/>
        </w:rPr>
        <w:instrText>1</w:instrText>
      </w:r>
      <w:r>
        <w:instrText>)</w:instrText>
      </w:r>
      <w:r>
        <w:fldChar w:fldCharType="end"/>
      </w:r>
      <w:r>
        <w:tab/>
      </w:r>
      <w:r>
        <w:fldChar w:fldCharType="begin"/>
      </w:r>
      <w:r>
        <w:instrText xml:space="preserve"> EQ =</w:instrText>
      </w:r>
      <w:r>
        <w:fldChar w:fldCharType="end"/>
      </w:r>
      <w:r>
        <w:tab/>
      </w:r>
      <w:r>
        <w:fldChar w:fldCharType="begin"/>
      </w:r>
      <w:r>
        <w:instrText xml:space="preserve"> EQ </w:instrText>
      </w:r>
      <w:r>
        <w:rPr>
          <w:i/>
          <w:iCs/>
        </w:rPr>
        <w:instrText>f</w:instrText>
      </w:r>
      <w:r>
        <w:instrText>\s\do6(</w:instrText>
      </w:r>
      <w:r>
        <w:rPr>
          <w:sz w:val="20"/>
          <w:szCs w:val="20"/>
        </w:rPr>
        <w:instrText>1</w:instrText>
      </w:r>
      <w:r>
        <w:instrText>)</w:instrText>
      </w:r>
      <w:r>
        <w:instrText>Γ</w:instrText>
      </w:r>
      <w:r>
        <w:instrText>\s\do6(</w:instrText>
      </w:r>
      <w:r>
        <w:rPr>
          <w:i/>
          <w:iCs/>
          <w:sz w:val="20"/>
          <w:szCs w:val="20"/>
        </w:rPr>
        <w:instrText>h</w:instrText>
      </w:r>
      <w:r>
        <w:instrText>)</w:instrText>
      </w:r>
      <w:r>
        <w:fldChar w:fldCharType="end"/>
      </w:r>
    </w:p>
    <w:p w:rsidR="00000000" w:rsidRDefault="00B4505B">
      <w:pPr>
        <w:pStyle w:val="equationArrayNum"/>
        <w:tabs>
          <w:tab w:val="right" w:pos="3902"/>
          <w:tab w:val="center" w:pos="4336"/>
          <w:tab w:val="left" w:pos="4769"/>
          <w:tab w:val="right" w:pos="8672"/>
        </w:tabs>
      </w:pPr>
      <w:r>
        <w:tab/>
      </w:r>
      <w:r>
        <w:fldChar w:fldCharType="begin"/>
      </w:r>
      <w:r>
        <w:instrText xml:space="preserve"> EQ </w:instrText>
      </w:r>
      <w:r>
        <w:instrText>Γ</w:instrText>
      </w:r>
      <w:r>
        <w:instrText>\s\do6(</w:instrText>
      </w:r>
      <w:r>
        <w:rPr>
          <w:sz w:val="20"/>
          <w:szCs w:val="20"/>
        </w:rPr>
        <w:instrText>2</w:instrText>
      </w:r>
      <w:r>
        <w:instrText>)</w:instrText>
      </w:r>
      <w:r>
        <w:fldChar w:fldCharType="end"/>
      </w:r>
      <w:r>
        <w:tab/>
      </w:r>
      <w:r>
        <w:fldChar w:fldCharType="begin"/>
      </w:r>
      <w:r>
        <w:instrText xml:space="preserve"> EQ =</w:instrText>
      </w:r>
      <w:r>
        <w:fldChar w:fldCharType="end"/>
      </w:r>
      <w:r>
        <w:tab/>
      </w:r>
      <w:r>
        <w:fldChar w:fldCharType="begin"/>
      </w:r>
      <w:r>
        <w:instrText xml:space="preserve"> EQ </w:instrText>
      </w:r>
      <w:r>
        <w:rPr>
          <w:i/>
          <w:iCs/>
        </w:rPr>
        <w:instrText>f</w:instrText>
      </w:r>
      <w:r>
        <w:instrText>\s\do6(</w:instrText>
      </w:r>
      <w:r>
        <w:rPr>
          <w:sz w:val="20"/>
          <w:szCs w:val="20"/>
        </w:rPr>
        <w:instrText>2</w:instrText>
      </w:r>
      <w:r>
        <w:instrText>)</w:instrText>
      </w:r>
      <w:r>
        <w:instrText>Γ</w:instrText>
      </w:r>
      <w:r>
        <w:instrText>\s\do6(</w:instrText>
      </w:r>
      <w:r>
        <w:rPr>
          <w:i/>
          <w:iCs/>
          <w:sz w:val="20"/>
          <w:szCs w:val="20"/>
        </w:rPr>
        <w:instrText>h</w:instrText>
      </w:r>
      <w:r>
        <w:instrText>)</w:instrText>
      </w:r>
      <w:r>
        <w:fldChar w:fldCharType="end"/>
      </w:r>
      <w:r>
        <w:tab/>
        <w:t>(</w:t>
      </w:r>
      <w:bookmarkStart w:id="36" w:name="BMeq_circs_123"/>
      <w:r>
        <w:t>26</w:t>
      </w:r>
      <w:bookmarkEnd w:id="36"/>
      <w:r>
        <w:t>)</w:t>
      </w:r>
    </w:p>
    <w:p w:rsidR="00000000" w:rsidRDefault="00B4505B">
      <w:pPr>
        <w:pStyle w:val="equationArrayNum"/>
        <w:tabs>
          <w:tab w:val="right" w:pos="3902"/>
          <w:tab w:val="center" w:pos="4336"/>
          <w:tab w:val="left" w:pos="4769"/>
          <w:tab w:val="right" w:pos="8672"/>
        </w:tabs>
      </w:pPr>
      <w:r>
        <w:tab/>
      </w:r>
      <w:r>
        <w:fldChar w:fldCharType="begin"/>
      </w:r>
      <w:r>
        <w:instrText xml:space="preserve"> EQ </w:instrText>
      </w:r>
      <w:r>
        <w:instrText>Γ</w:instrText>
      </w:r>
      <w:r>
        <w:instrText>\s\do6(</w:instrText>
      </w:r>
      <w:r>
        <w:rPr>
          <w:sz w:val="20"/>
          <w:szCs w:val="20"/>
        </w:rPr>
        <w:instrText>3</w:instrText>
      </w:r>
      <w:r>
        <w:instrText>)</w:instrText>
      </w:r>
      <w:r>
        <w:fldChar w:fldCharType="end"/>
      </w:r>
      <w:r>
        <w:tab/>
      </w:r>
      <w:r>
        <w:fldChar w:fldCharType="begin"/>
      </w:r>
      <w:r>
        <w:instrText xml:space="preserve"> EQ =</w:instrText>
      </w:r>
      <w:r>
        <w:fldChar w:fldCharType="end"/>
      </w:r>
      <w:r>
        <w:tab/>
      </w:r>
      <w:r>
        <w:fldChar w:fldCharType="begin"/>
      </w:r>
      <w:r>
        <w:instrText xml:space="preserve"> EQ (1</w:instrText>
      </w:r>
      <w:r>
        <w:instrText>−</w:instrText>
      </w:r>
      <w:r>
        <w:rPr>
          <w:i/>
          <w:iCs/>
        </w:rPr>
        <w:instrText>f</w:instrText>
      </w:r>
      <w:r>
        <w:instrText>\s\do6(</w:instrText>
      </w:r>
      <w:r>
        <w:rPr>
          <w:sz w:val="20"/>
          <w:szCs w:val="20"/>
        </w:rPr>
        <w:instrText>1</w:instrText>
      </w:r>
      <w:r>
        <w:instrText>)</w:instrText>
      </w:r>
      <w:r>
        <w:instrText>−</w:instrText>
      </w:r>
      <w:r>
        <w:rPr>
          <w:i/>
          <w:iCs/>
        </w:rPr>
        <w:instrText>f</w:instrText>
      </w:r>
      <w:r>
        <w:instrText>\s\do6(</w:instrText>
      </w:r>
      <w:r>
        <w:rPr>
          <w:sz w:val="20"/>
          <w:szCs w:val="20"/>
        </w:rPr>
        <w:instrText>2</w:instrText>
      </w:r>
      <w:r>
        <w:instrText>))</w:instrText>
      </w:r>
      <w:r>
        <w:instrText>Γ</w:instrText>
      </w:r>
      <w:r>
        <w:instrText>\s\do6(</w:instrText>
      </w:r>
      <w:r>
        <w:rPr>
          <w:i/>
          <w:iCs/>
          <w:sz w:val="20"/>
          <w:szCs w:val="20"/>
        </w:rPr>
        <w:instrText>h</w:instrText>
      </w:r>
      <w:r>
        <w:instrText>)</w:instrText>
      </w:r>
      <w:r>
        <w:fldChar w:fldCharType="end"/>
      </w:r>
    </w:p>
    <w:p w:rsidR="00000000" w:rsidRDefault="00B4505B">
      <w:pPr>
        <w:ind w:firstLine="360"/>
      </w:pPr>
      <w:r>
        <w:t>The parameters in the partition fraction fits were determined via regression against the numerical simulation data. This would be straightforward if it w</w:t>
      </w:r>
      <w:r>
        <w:t>ere not for the fact that we have chosen to used fixed positions for the halo vortices. The halo vortex circulation values determined in the data analysis discussed above were computed in conjunction with variable halo vortex positions, and thus are really</w:t>
      </w:r>
      <w:r>
        <w:t xml:space="preserve"> not appropriate for an approximate system having vortices of fixed-position. In order to rectify this disparity, the data </w:t>
      </w:r>
      <w:r>
        <w:lastRenderedPageBreak/>
        <w:t>analysis was repeated. In the modified analysis, the halo vortex partition fractions were solved for using fixed vortex positions. Ph</w:t>
      </w:r>
      <w:r>
        <w:t>ysically, this amounts to allowing the sector boundaries to move at each time step so that the net induction of the three fixed halo vortices matches the induction of the entire far-field at the position of the primary vortex. While this step does not fund</w:t>
      </w:r>
      <w:r>
        <w:t>amentally change the behavior of the partition functions, it makes these much more consistent with the fixed-position halo vortices.</w:t>
      </w:r>
    </w:p>
    <w:p w:rsidR="00000000" w:rsidRDefault="00B4505B">
      <w:pPr>
        <w:pStyle w:val="Figure"/>
        <w:spacing w:before="240"/>
        <w:ind w:firstLine="360"/>
        <w:rPr>
          <w:sz w:val="24"/>
          <w:szCs w:val="24"/>
        </w:rPr>
      </w:pPr>
    </w:p>
    <w:p w:rsidR="00000000" w:rsidRDefault="00B4505B">
      <w:pPr>
        <w:pStyle w:val="centerpar"/>
        <w:ind w:firstLine="360"/>
      </w:pPr>
      <w:r>
        <w:drawing>
          <wp:inline distT="0" distB="0" distL="0" distR="0">
            <wp:extent cx="4114800" cy="28829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4114800" cy="2882900"/>
                    </a:xfrm>
                    <a:prstGeom prst="rect">
                      <a:avLst/>
                    </a:prstGeom>
                    <a:noFill/>
                    <a:ln w="9525">
                      <a:noFill/>
                      <a:miter lim="800000"/>
                      <a:headEnd/>
                      <a:tailEnd/>
                    </a:ln>
                  </pic:spPr>
                </pic:pic>
              </a:graphicData>
            </a:graphic>
          </wp:inline>
        </w:drawing>
      </w:r>
      <w:r>
        <w:t xml:space="preserve"> </w:t>
      </w:r>
    </w:p>
    <w:p w:rsidR="00000000" w:rsidRDefault="00B4505B">
      <w:pPr>
        <w:pStyle w:val="Caption"/>
      </w:pPr>
      <w:r>
        <w:t xml:space="preserve">Figure </w:t>
      </w:r>
      <w:bookmarkStart w:id="37" w:name="BMfig_frac_fit"/>
      <w:r>
        <w:t>11</w:t>
      </w:r>
      <w:bookmarkEnd w:id="37"/>
      <w:r>
        <w:t>: Curve fit of the halo vortex circulation parti</w:t>
      </w:r>
      <w:r>
        <w:t xml:space="preserve">tion fractions compared against measurements taken from the unstratified numerical simulation. These fits are for </w:t>
      </w:r>
      <w:r>
        <w:fldChar w:fldCharType="begin"/>
      </w:r>
      <w:r>
        <w:instrText xml:space="preserve"> EQ </w:instrText>
      </w:r>
      <w:r>
        <w:rPr>
          <w:i/>
          <w:iCs/>
        </w:rPr>
        <w:instrText>f</w:instrText>
      </w:r>
      <w:r>
        <w:instrText>\s\do6(</w:instrText>
      </w:r>
      <w:r>
        <w:rPr>
          <w:sz w:val="20"/>
          <w:szCs w:val="20"/>
        </w:rPr>
        <w:instrText>10</w:instrText>
      </w:r>
      <w:r>
        <w:instrText>)</w:instrText>
      </w:r>
      <w:r>
        <w:fldChar w:fldCharType="end"/>
      </w:r>
      <w:r>
        <w:t xml:space="preserve">=0.45, </w:t>
      </w:r>
      <w:r>
        <w:fldChar w:fldCharType="begin"/>
      </w:r>
      <w:r>
        <w:instrText xml:space="preserve"> EQ </w:instrText>
      </w:r>
      <w:r>
        <w:rPr>
          <w:i/>
          <w:iCs/>
        </w:rPr>
        <w:instrText>f</w:instrText>
      </w:r>
      <w:r>
        <w:instrText>\s\do6(</w:instrText>
      </w:r>
      <w:r>
        <w:rPr>
          <w:sz w:val="20"/>
          <w:szCs w:val="20"/>
        </w:rPr>
        <w:instrText>11</w:instrText>
      </w:r>
      <w:r>
        <w:instrText>)=</w:instrText>
      </w:r>
      <w:r>
        <w:fldChar w:fldCharType="end"/>
      </w:r>
      <w:r>
        <w:t xml:space="preserve">0.71, </w:t>
      </w:r>
      <w:r>
        <w:fldChar w:fldCharType="begin"/>
      </w:r>
      <w:r>
        <w:instrText xml:space="preserve"> EQ </w:instrText>
      </w:r>
      <w:r>
        <w:rPr>
          <w:i/>
          <w:iCs/>
        </w:rPr>
        <w:instrText>t</w:instrText>
      </w:r>
      <w:r>
        <w:instrText>\s\up(</w:instrText>
      </w:r>
      <w:r>
        <w:rPr>
          <w:sz w:val="20"/>
          <w:szCs w:val="20"/>
        </w:rPr>
        <w:instrText>*,1</w:instrText>
      </w:r>
      <w:r>
        <w:instrText>)</w:instrText>
      </w:r>
      <w:r>
        <w:fldChar w:fldCharType="end"/>
      </w:r>
      <w:r>
        <w:t xml:space="preserve">=1.16, </w:t>
      </w:r>
      <w:r>
        <w:fldChar w:fldCharType="begin"/>
      </w:r>
      <w:r>
        <w:instrText xml:space="preserve"> EQ </w:instrText>
      </w:r>
      <w:r>
        <w:rPr>
          <w:i/>
          <w:iCs/>
        </w:rPr>
        <w:instrText>t</w:instrText>
      </w:r>
      <w:r>
        <w:instrText>\s\up(</w:instrText>
      </w:r>
      <w:r>
        <w:rPr>
          <w:sz w:val="20"/>
          <w:szCs w:val="20"/>
        </w:rPr>
        <w:instrText>*,</w:instrText>
      </w:r>
      <w:r>
        <w:rPr>
          <w:i/>
          <w:iCs/>
          <w:sz w:val="20"/>
          <w:szCs w:val="20"/>
        </w:rPr>
        <w:instrText>w</w:instrText>
      </w:r>
      <w:r>
        <w:instrText>)\s\do6(</w:instrText>
      </w:r>
      <w:r>
        <w:rPr>
          <w:sz w:val="20"/>
          <w:szCs w:val="20"/>
        </w:rPr>
        <w:instrText>1</w:instrText>
      </w:r>
      <w:r>
        <w:instrText>)=1.24</w:instrText>
      </w:r>
      <w:r>
        <w:fldChar w:fldCharType="end"/>
      </w:r>
      <w:r>
        <w:t xml:space="preserve">, </w:t>
      </w:r>
      <w:r>
        <w:fldChar w:fldCharType="begin"/>
      </w:r>
      <w:r>
        <w:instrText xml:space="preserve"> EQ </w:instrText>
      </w:r>
      <w:r>
        <w:rPr>
          <w:i/>
          <w:iCs/>
        </w:rPr>
        <w:instrText>f</w:instrText>
      </w:r>
      <w:r>
        <w:instrText>\s\do6(</w:instrText>
      </w:r>
      <w:r>
        <w:rPr>
          <w:sz w:val="20"/>
          <w:szCs w:val="20"/>
        </w:rPr>
        <w:instrText>20</w:instrText>
      </w:r>
      <w:r>
        <w:instrText>)</w:instrText>
      </w:r>
      <w:r>
        <w:fldChar w:fldCharType="end"/>
      </w:r>
      <w:r>
        <w:t xml:space="preserve">=0.35, </w:t>
      </w:r>
      <w:r>
        <w:fldChar w:fldCharType="begin"/>
      </w:r>
      <w:r>
        <w:instrText xml:space="preserve"> EQ </w:instrText>
      </w:r>
      <w:r>
        <w:rPr>
          <w:i/>
          <w:iCs/>
        </w:rPr>
        <w:instrText>f</w:instrText>
      </w:r>
      <w:r>
        <w:instrText>\s\do6(</w:instrText>
      </w:r>
      <w:r>
        <w:rPr>
          <w:sz w:val="20"/>
          <w:szCs w:val="20"/>
        </w:rPr>
        <w:instrText>2</w:instrText>
      </w:r>
      <w:r>
        <w:rPr>
          <w:sz w:val="20"/>
          <w:szCs w:val="20"/>
        </w:rPr>
        <w:instrText>1</w:instrText>
      </w:r>
      <w:r>
        <w:instrText>)=</w:instrText>
      </w:r>
      <w:r>
        <w:fldChar w:fldCharType="end"/>
      </w:r>
      <w:r>
        <w:t xml:space="preserve">0.15, </w:t>
      </w:r>
      <w:r>
        <w:fldChar w:fldCharType="begin"/>
      </w:r>
      <w:r>
        <w:instrText xml:space="preserve"> EQ </w:instrText>
      </w:r>
      <w:r>
        <w:rPr>
          <w:i/>
          <w:iCs/>
        </w:rPr>
        <w:instrText>t</w:instrText>
      </w:r>
      <w:r>
        <w:instrText>\s\up(</w:instrText>
      </w:r>
      <w:r>
        <w:rPr>
          <w:sz w:val="20"/>
          <w:szCs w:val="20"/>
        </w:rPr>
        <w:instrText>*,2</w:instrText>
      </w:r>
      <w:r>
        <w:instrText>)</w:instrText>
      </w:r>
      <w:r>
        <w:fldChar w:fldCharType="end"/>
      </w:r>
      <w:r>
        <w:t xml:space="preserve">=1.74, </w:t>
      </w:r>
      <w:r>
        <w:fldChar w:fldCharType="begin"/>
      </w:r>
      <w:r>
        <w:instrText xml:space="preserve"> EQ </w:instrText>
      </w:r>
      <w:r>
        <w:rPr>
          <w:i/>
          <w:iCs/>
        </w:rPr>
        <w:instrText>t</w:instrText>
      </w:r>
      <w:r>
        <w:instrText>\s\up(</w:instrText>
      </w:r>
      <w:r>
        <w:rPr>
          <w:sz w:val="20"/>
          <w:szCs w:val="20"/>
        </w:rPr>
        <w:instrText>*,</w:instrText>
      </w:r>
      <w:r>
        <w:rPr>
          <w:i/>
          <w:iCs/>
          <w:sz w:val="20"/>
          <w:szCs w:val="20"/>
        </w:rPr>
        <w:instrText>w</w:instrText>
      </w:r>
      <w:r>
        <w:instrText>)\s\do6(</w:instrText>
      </w:r>
      <w:r>
        <w:rPr>
          <w:sz w:val="20"/>
          <w:szCs w:val="20"/>
        </w:rPr>
        <w:instrText>2</w:instrText>
      </w:r>
      <w:r>
        <w:instrText>)=2.07</w:instrText>
      </w:r>
      <w:r>
        <w:fldChar w:fldCharType="end"/>
      </w:r>
      <w:r>
        <w:t>.</w:t>
      </w:r>
      <w:r>
        <w:fldChar w:fldCharType="begin"/>
      </w:r>
      <w:r>
        <w:instrText xml:space="preserve">TC "11 Curve fit of the halo vortex circulation partition fractions compared against measurements taken from the unstratified numerical simulation. These fits are for </w:instrText>
      </w:r>
      <w:r>
        <w:fldChar w:fldCharType="begin"/>
      </w:r>
      <w:r>
        <w:instrText xml:space="preserve"> EQ </w:instrText>
      </w:r>
      <w:r>
        <w:rPr>
          <w:i/>
          <w:iCs/>
        </w:rPr>
        <w:instrText>f</w:instrText>
      </w:r>
      <w:r>
        <w:instrText>\s\do6(</w:instrText>
      </w:r>
      <w:r>
        <w:rPr>
          <w:sz w:val="20"/>
          <w:szCs w:val="20"/>
        </w:rPr>
        <w:instrText>10</w:instrText>
      </w:r>
      <w:r>
        <w:instrText>)</w:instrText>
      </w:r>
      <w:r>
        <w:fldChar w:fldCharType="end"/>
      </w:r>
      <w:r>
        <w:instrText xml:space="preserve">=0.45, </w:instrText>
      </w:r>
      <w:r>
        <w:fldChar w:fldCharType="begin"/>
      </w:r>
      <w:r>
        <w:instrText xml:space="preserve"> EQ </w:instrText>
      </w:r>
      <w:r>
        <w:rPr>
          <w:i/>
          <w:iCs/>
        </w:rPr>
        <w:instrText>f</w:instrText>
      </w:r>
      <w:r>
        <w:instrText>\s\do6(</w:instrText>
      </w:r>
      <w:r>
        <w:rPr>
          <w:sz w:val="20"/>
          <w:szCs w:val="20"/>
        </w:rPr>
        <w:instrText>11</w:instrText>
      </w:r>
      <w:r>
        <w:instrText>)=</w:instrText>
      </w:r>
      <w:r>
        <w:fldChar w:fldCharType="end"/>
      </w:r>
      <w:r>
        <w:instrText xml:space="preserve">0.71, </w:instrText>
      </w:r>
      <w:r>
        <w:fldChar w:fldCharType="begin"/>
      </w:r>
      <w:r>
        <w:instrText xml:space="preserve"> EQ </w:instrText>
      </w:r>
      <w:r>
        <w:rPr>
          <w:i/>
          <w:iCs/>
        </w:rPr>
        <w:instrText>t</w:instrText>
      </w:r>
      <w:r>
        <w:instrText>\s\up(</w:instrText>
      </w:r>
      <w:r>
        <w:rPr>
          <w:sz w:val="20"/>
          <w:szCs w:val="20"/>
        </w:rPr>
        <w:instrText>*,1</w:instrText>
      </w:r>
      <w:r>
        <w:instrText>)</w:instrText>
      </w:r>
      <w:r>
        <w:fldChar w:fldCharType="end"/>
      </w:r>
      <w:r>
        <w:instrText xml:space="preserve">=1.16, </w:instrText>
      </w:r>
      <w:r>
        <w:fldChar w:fldCharType="begin"/>
      </w:r>
      <w:r>
        <w:instrText xml:space="preserve"> EQ </w:instrText>
      </w:r>
      <w:r>
        <w:rPr>
          <w:i/>
          <w:iCs/>
        </w:rPr>
        <w:instrText>t</w:instrText>
      </w:r>
      <w:r>
        <w:instrText>\s\up(</w:instrText>
      </w:r>
      <w:r>
        <w:rPr>
          <w:sz w:val="20"/>
          <w:szCs w:val="20"/>
        </w:rPr>
        <w:instrText>*,</w:instrText>
      </w:r>
      <w:r>
        <w:rPr>
          <w:i/>
          <w:iCs/>
          <w:sz w:val="20"/>
          <w:szCs w:val="20"/>
        </w:rPr>
        <w:instrText>w</w:instrText>
      </w:r>
      <w:r>
        <w:instrText>)\s\do6(</w:instrText>
      </w:r>
      <w:r>
        <w:rPr>
          <w:sz w:val="20"/>
          <w:szCs w:val="20"/>
        </w:rPr>
        <w:instrText>1</w:instrText>
      </w:r>
      <w:r>
        <w:instrText>)=1.24</w:instrText>
      </w:r>
      <w:r>
        <w:fldChar w:fldCharType="end"/>
      </w:r>
      <w:r>
        <w:instrText xml:space="preserve">, </w:instrText>
      </w:r>
      <w:r>
        <w:fldChar w:fldCharType="begin"/>
      </w:r>
      <w:r>
        <w:instrText xml:space="preserve"> EQ </w:instrText>
      </w:r>
      <w:r>
        <w:rPr>
          <w:i/>
          <w:iCs/>
        </w:rPr>
        <w:instrText>f</w:instrText>
      </w:r>
      <w:r>
        <w:instrText>\s\do6(</w:instrText>
      </w:r>
      <w:r>
        <w:rPr>
          <w:sz w:val="20"/>
          <w:szCs w:val="20"/>
        </w:rPr>
        <w:instrText>20</w:instrText>
      </w:r>
      <w:r>
        <w:instrText>)</w:instrText>
      </w:r>
      <w:r>
        <w:fldChar w:fldCharType="end"/>
      </w:r>
      <w:r>
        <w:instrText xml:space="preserve">=0.35, </w:instrText>
      </w:r>
      <w:r>
        <w:fldChar w:fldCharType="begin"/>
      </w:r>
      <w:r>
        <w:instrText xml:space="preserve"> EQ </w:instrText>
      </w:r>
      <w:r>
        <w:rPr>
          <w:i/>
          <w:iCs/>
        </w:rPr>
        <w:instrText>f</w:instrText>
      </w:r>
      <w:r>
        <w:instrText>\s\do6(</w:instrText>
      </w:r>
      <w:r>
        <w:rPr>
          <w:sz w:val="20"/>
          <w:szCs w:val="20"/>
        </w:rPr>
        <w:instrText>21</w:instrText>
      </w:r>
      <w:r>
        <w:instrText>)=</w:instrText>
      </w:r>
      <w:r>
        <w:fldChar w:fldCharType="end"/>
      </w:r>
      <w:r>
        <w:instrText xml:space="preserve">0.15, </w:instrText>
      </w:r>
      <w:r>
        <w:fldChar w:fldCharType="begin"/>
      </w:r>
      <w:r>
        <w:instrText xml:space="preserve"> EQ </w:instrText>
      </w:r>
      <w:r>
        <w:rPr>
          <w:i/>
          <w:iCs/>
        </w:rPr>
        <w:instrText>t</w:instrText>
      </w:r>
      <w:r>
        <w:instrText>\s\up(</w:instrText>
      </w:r>
      <w:r>
        <w:rPr>
          <w:sz w:val="20"/>
          <w:szCs w:val="20"/>
        </w:rPr>
        <w:instrText>*,2</w:instrText>
      </w:r>
      <w:r>
        <w:instrText>)</w:instrText>
      </w:r>
      <w:r>
        <w:fldChar w:fldCharType="end"/>
      </w:r>
      <w:r>
        <w:instrText xml:space="preserve">=1.74, </w:instrText>
      </w:r>
      <w:r>
        <w:fldChar w:fldCharType="begin"/>
      </w:r>
      <w:r>
        <w:instrText xml:space="preserve"> EQ </w:instrText>
      </w:r>
      <w:r>
        <w:rPr>
          <w:i/>
          <w:iCs/>
        </w:rPr>
        <w:instrText>t</w:instrText>
      </w:r>
      <w:r>
        <w:instrText>\s\up(</w:instrText>
      </w:r>
      <w:r>
        <w:rPr>
          <w:sz w:val="20"/>
          <w:szCs w:val="20"/>
        </w:rPr>
        <w:instrText>*,</w:instrText>
      </w:r>
      <w:r>
        <w:rPr>
          <w:i/>
          <w:iCs/>
          <w:sz w:val="20"/>
          <w:szCs w:val="20"/>
        </w:rPr>
        <w:instrText>w</w:instrText>
      </w:r>
      <w:r>
        <w:instrText>)\s\do6(</w:instrText>
      </w:r>
      <w:r>
        <w:rPr>
          <w:sz w:val="20"/>
          <w:szCs w:val="20"/>
        </w:rPr>
        <w:instrText>2</w:instrText>
      </w:r>
      <w:r>
        <w:instrText>)=2.07</w:instrText>
      </w:r>
      <w:r>
        <w:fldChar w:fldCharType="end"/>
      </w:r>
      <w:r>
        <w:instrText>." \f f</w:instrText>
      </w:r>
      <w:r>
        <w:fldChar w:fldCharType="end"/>
      </w:r>
    </w:p>
    <w:p w:rsidR="00000000" w:rsidRDefault="00B4505B">
      <w:pPr>
        <w:spacing w:before="240"/>
        <w:ind w:firstLine="360"/>
      </w:pPr>
      <w:r>
        <w:t xml:space="preserve">The hyperbolic tangent fits were optimized against the </w:t>
      </w:r>
      <w:r>
        <w:t xml:space="preserve">modified partition fraction measurements and the net result is shown in Figure </w:t>
      </w:r>
      <w:fldSimple w:instr="REF BMfig_frac_fit \* MERGEFORMAT ">
        <w:r>
          <w:t>11</w:t>
        </w:r>
      </w:fldSimple>
      <w:r>
        <w:t xml:space="preserve">. While these fits do not capture the oscillations present for </w:t>
      </w:r>
      <w:r>
        <w:rPr>
          <w:i/>
          <w:iCs/>
        </w:rPr>
        <w:t>t</w:t>
      </w:r>
      <w:r>
        <w:t>&lt;40 sec., they do a reasonable job of fitting the remainder of the profile</w:t>
      </w:r>
      <w:r>
        <w:t xml:space="preserve"> details. Errors for small times are not a large concern since the halo vortex strengths are low during this time (see Figure </w:t>
      </w:r>
      <w:fldSimple w:instr="REF BMfig_est_halo_circ \* MERGEFORMAT ">
        <w:r>
          <w:t>10</w:t>
        </w:r>
      </w:fldSimple>
      <w:r>
        <w:t>) and thus these vortices have only a small influence on the motion of the primary vor</w:t>
      </w:r>
      <w:r>
        <w:t>tices.</w:t>
      </w:r>
    </w:p>
    <w:p w:rsidR="00000000" w:rsidRDefault="00B4505B">
      <w:pPr>
        <w:pStyle w:val="Heading3"/>
        <w:widowControl/>
        <w:spacing w:before="120"/>
      </w:pPr>
      <w:r>
        <w:t>5.3  Construction of the Fast Wake Model</w:t>
      </w:r>
    </w:p>
    <w:p w:rsidR="00000000" w:rsidRDefault="00B4505B">
      <w:pPr>
        <w:pStyle w:val="Figure"/>
        <w:spacing w:before="300"/>
        <w:rPr>
          <w:sz w:val="24"/>
          <w:szCs w:val="24"/>
        </w:rPr>
      </w:pPr>
    </w:p>
    <w:p w:rsidR="00000000" w:rsidRDefault="00B4505B">
      <w:pPr>
        <w:pStyle w:val="centerpar"/>
        <w:ind w:firstLine="360"/>
      </w:pPr>
      <w:r>
        <w:lastRenderedPageBreak/>
        <w:drawing>
          <wp:inline distT="0" distB="0" distL="0" distR="0">
            <wp:extent cx="5537200" cy="2971800"/>
            <wp:effectExtent l="1905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5537200" cy="2971800"/>
                    </a:xfrm>
                    <a:prstGeom prst="rect">
                      <a:avLst/>
                    </a:prstGeom>
                    <a:noFill/>
                    <a:ln w="9525">
                      <a:noFill/>
                      <a:miter lim="800000"/>
                      <a:headEnd/>
                      <a:tailEnd/>
                    </a:ln>
                  </pic:spPr>
                </pic:pic>
              </a:graphicData>
            </a:graphic>
          </wp:inline>
        </w:drawing>
      </w:r>
      <w:r>
        <w:t xml:space="preserve"> </w:t>
      </w:r>
    </w:p>
    <w:p w:rsidR="00000000" w:rsidRDefault="00B4505B">
      <w:pPr>
        <w:pStyle w:val="Caption"/>
      </w:pPr>
      <w:r>
        <w:t xml:space="preserve">Figure </w:t>
      </w:r>
      <w:bookmarkStart w:id="38" w:name="BMfig_vortex_system"/>
      <w:r>
        <w:t>12</w:t>
      </w:r>
      <w:bookmarkEnd w:id="38"/>
      <w:r>
        <w:t>: Composite vortex system for the fast wake model.</w:t>
      </w:r>
      <w:r>
        <w:fldChar w:fldCharType="begin"/>
      </w:r>
      <w:r>
        <w:instrText>TC "12 Composite vortex system for the fast wake model." \f f</w:instrText>
      </w:r>
      <w:r>
        <w:fldChar w:fldCharType="end"/>
      </w:r>
    </w:p>
    <w:p w:rsidR="00000000" w:rsidRDefault="00B4505B">
      <w:pPr>
        <w:spacing w:before="240"/>
        <w:ind w:firstLine="360"/>
      </w:pPr>
      <w:r>
        <w:t>All of the pieces required for the fast wake model are now</w:t>
      </w:r>
      <w:r>
        <w:t xml:space="preserve"> in place. The decay of the primary vortices is given in the form of Eq. (</w:t>
      </w:r>
      <w:fldSimple w:instr="REF BMeq_decay_rate \* MERGEFORMAT ">
        <w:r>
          <w:t>20</w:t>
        </w:r>
      </w:fldSimple>
      <w:r>
        <w:t xml:space="preserve">) (with </w:t>
      </w:r>
      <w:r>
        <w:fldChar w:fldCharType="begin"/>
      </w:r>
      <w:r>
        <w:instrText xml:space="preserve"> EQ </w:instrText>
      </w:r>
      <w:r>
        <w:instrText>Γ</w:instrText>
      </w:r>
      <w:r>
        <w:instrText>\s\do6(</w:instrText>
      </w:r>
      <w:r>
        <w:rPr>
          <w:sz w:val="20"/>
          <w:szCs w:val="20"/>
        </w:rPr>
        <w:instrText>∞</w:instrText>
      </w:r>
      <w:r>
        <w:instrText>)</w:instrText>
      </w:r>
      <w:r>
        <w:fldChar w:fldCharType="end"/>
      </w:r>
      <w:r>
        <w:t xml:space="preserve"> replaced by </w:t>
      </w:r>
      <w:r>
        <w:fldChar w:fldCharType="begin"/>
      </w:r>
      <w:r>
        <w:instrText xml:space="preserve"> EQ </w:instrText>
      </w:r>
      <w:r>
        <w:instrText>Γ</w:instrText>
      </w:r>
      <w:r>
        <w:instrText>\s\do6(</w:instrText>
      </w:r>
      <w:r>
        <w:rPr>
          <w:i/>
          <w:iCs/>
          <w:sz w:val="20"/>
          <w:szCs w:val="20"/>
        </w:rPr>
        <w:instrText>p</w:instrText>
      </w:r>
      <w:r>
        <w:instrText>)</w:instrText>
      </w:r>
      <w:r>
        <w:fldChar w:fldCharType="end"/>
      </w:r>
      <w:r>
        <w:t xml:space="preserve"> and </w:t>
      </w:r>
      <w:r>
        <w:fldChar w:fldCharType="begin"/>
      </w:r>
      <w:r>
        <w:instrText xml:space="preserve"> EQ </w:instrText>
      </w:r>
      <w:r>
        <w:instrText>Γ</w:instrText>
      </w:r>
      <w:r>
        <w:instrText>\s\do6(</w:instrText>
      </w:r>
      <w:r>
        <w:rPr>
          <w:i/>
          <w:iCs/>
          <w:sz w:val="20"/>
          <w:szCs w:val="20"/>
        </w:rPr>
        <w:instrText>s</w:instrText>
      </w:r>
      <w:r>
        <w:instrText>)</w:instrText>
      </w:r>
      <w:r>
        <w:fldChar w:fldCharType="end"/>
      </w:r>
      <w:r>
        <w:t>), and the strengths of the fixed-position halo vortices are determi</w:t>
      </w:r>
      <w:r>
        <w:t>ned via Eqs. (</w:t>
      </w:r>
      <w:fldSimple w:instr="REF BMeq_halo_circ \* MERGEFORMAT ">
        <w:r>
          <w:t>23</w:t>
        </w:r>
      </w:fldSimple>
      <w:r>
        <w:t>)-(</w:t>
      </w:r>
      <w:fldSimple w:instr="REF BMeq_circs_123 \* MERGEFORMAT ">
        <w:r>
          <w:t>26</w:t>
        </w:r>
      </w:fldSimple>
      <w:r>
        <w:t xml:space="preserve">). The motions of the port and starboard primary vortices are then computed by considering the net induction from all of the vortices in the system. As shown in </w:t>
      </w:r>
      <w:r>
        <w:t xml:space="preserve">Figure </w:t>
      </w:r>
      <w:fldSimple w:instr="REF BMfig_vortex_system \* MERGEFORMAT ">
        <w:r>
          <w:t>12</w:t>
        </w:r>
      </w:fldSimple>
      <w:r>
        <w:t xml:space="preserve"> there are a total of 8 vortices, the port and starboard primaries and six halo vortices, three for each half of the wake system. We also consider a mirror image system of the 8 vortices below the ground in order to model the effect of the ground plane. Wh</w:t>
      </w:r>
      <w:r>
        <w:t>en considering the ground plane image system, the total induced velocity at the position (</w:t>
      </w:r>
      <w:r>
        <w:rPr>
          <w:i/>
          <w:iCs/>
        </w:rPr>
        <w:t>y</w:t>
      </w:r>
      <w:r>
        <w:t>,</w:t>
      </w:r>
      <w:r>
        <w:rPr>
          <w:i/>
          <w:iCs/>
        </w:rPr>
        <w:t>z</w:t>
      </w:r>
      <w:r>
        <w:t xml:space="preserve">) is </w:t>
      </w:r>
    </w:p>
    <w:p w:rsidR="00000000" w:rsidRDefault="00B4505B">
      <w:pPr>
        <w:pStyle w:val="equationArrayNum"/>
        <w:tabs>
          <w:tab w:val="right" w:pos="3902"/>
          <w:tab w:val="center" w:pos="4336"/>
          <w:tab w:val="left" w:pos="4769"/>
          <w:tab w:val="right" w:pos="8672"/>
        </w:tabs>
      </w:pPr>
      <w:r>
        <w:tab/>
      </w:r>
      <w:r>
        <w:fldChar w:fldCharType="begin"/>
      </w:r>
      <w:r>
        <w:instrText xml:space="preserve"> EQ </w:instrText>
      </w:r>
      <w:r>
        <w:rPr>
          <w:i/>
          <w:iCs/>
        </w:rPr>
        <w:instrText>v</w:instrText>
      </w:r>
      <w:r>
        <w:fldChar w:fldCharType="end"/>
      </w:r>
      <w:r>
        <w:tab/>
      </w:r>
      <w:r>
        <w:fldChar w:fldCharType="begin"/>
      </w:r>
      <w:r>
        <w:instrText xml:space="preserve"> EQ =</w:instrText>
      </w:r>
      <w:r>
        <w:fldChar w:fldCharType="end"/>
      </w:r>
      <w:r>
        <w:tab/>
      </w:r>
      <w:r>
        <w:fldChar w:fldCharType="begin"/>
      </w:r>
      <w:r>
        <w:instrText xml:space="preserve"> EQ  \i \su(</w:instrText>
      </w:r>
      <w:r>
        <w:rPr>
          <w:i/>
          <w:iCs/>
        </w:rPr>
        <w:instrText>i</w:instrText>
      </w:r>
      <w:r>
        <w:instrText>=1,8, ) \F(</w:instrText>
      </w:r>
      <w:r>
        <w:instrText>Γ</w:instrText>
      </w:r>
      <w:r>
        <w:instrText>\s\do6(</w:instrText>
      </w:r>
      <w:r>
        <w:rPr>
          <w:i/>
          <w:iCs/>
          <w:sz w:val="20"/>
          <w:szCs w:val="20"/>
        </w:rPr>
        <w:instrText>i</w:instrText>
      </w:r>
      <w:r>
        <w:instrText>),2</w:instrText>
      </w:r>
      <w:r>
        <w:instrText>π</w:instrText>
      </w:r>
      <w:r>
        <w:instrText>) \b \bc\[ (</w:instrText>
      </w:r>
      <w:r>
        <w:instrText>−</w:instrText>
      </w:r>
      <w:r>
        <w:instrText xml:space="preserve"> \F(</w:instrText>
      </w:r>
      <w:r>
        <w:rPr>
          <w:i/>
          <w:iCs/>
        </w:rPr>
        <w:instrText>z</w:instrText>
      </w:r>
      <w:r>
        <w:instrText>\s\do6(</w:instrText>
      </w:r>
      <w:r>
        <w:rPr>
          <w:i/>
          <w:iCs/>
          <w:sz w:val="20"/>
          <w:szCs w:val="20"/>
        </w:rPr>
        <w:instrText>i</w:instrText>
      </w:r>
      <w:r>
        <w:instrText>)</w:instrText>
      </w:r>
      <w:r>
        <w:instrText>−</w:instrText>
      </w:r>
      <w:r>
        <w:rPr>
          <w:i/>
          <w:iCs/>
        </w:rPr>
        <w:instrText>z</w:instrText>
      </w:r>
      <w:r>
        <w:instrText>,(</w:instrText>
      </w:r>
      <w:r>
        <w:rPr>
          <w:i/>
          <w:iCs/>
        </w:rPr>
        <w:instrText>y</w:instrText>
      </w:r>
      <w:r>
        <w:instrText>\s\do6(</w:instrText>
      </w:r>
      <w:r>
        <w:rPr>
          <w:i/>
          <w:iCs/>
          <w:sz w:val="20"/>
          <w:szCs w:val="20"/>
        </w:rPr>
        <w:instrText>i</w:instrText>
      </w:r>
      <w:r>
        <w:instrText>)</w:instrText>
      </w:r>
      <w:r>
        <w:instrText>−</w:instrText>
      </w:r>
      <w:r>
        <w:rPr>
          <w:i/>
          <w:iCs/>
        </w:rPr>
        <w:instrText>y</w:instrText>
      </w:r>
      <w:r>
        <w:instrText>)\s\up6(</w:instrText>
      </w:r>
      <w:r>
        <w:rPr>
          <w:sz w:val="20"/>
          <w:szCs w:val="20"/>
        </w:rPr>
        <w:instrText>2</w:instrText>
      </w:r>
      <w:r>
        <w:instrText>)+(</w:instrText>
      </w:r>
      <w:r>
        <w:rPr>
          <w:i/>
          <w:iCs/>
        </w:rPr>
        <w:instrText>z</w:instrText>
      </w:r>
      <w:r>
        <w:instrText>\s\do6(</w:instrText>
      </w:r>
      <w:r>
        <w:rPr>
          <w:i/>
          <w:iCs/>
          <w:sz w:val="20"/>
          <w:szCs w:val="20"/>
        </w:rPr>
        <w:instrText>i</w:instrText>
      </w:r>
      <w:r>
        <w:instrText>)</w:instrText>
      </w:r>
      <w:r>
        <w:instrText>−</w:instrText>
      </w:r>
      <w:r>
        <w:rPr>
          <w:i/>
          <w:iCs/>
        </w:rPr>
        <w:instrText>z</w:instrText>
      </w:r>
      <w:r>
        <w:instrText>)\s\up6(</w:instrText>
      </w:r>
      <w:r>
        <w:rPr>
          <w:sz w:val="20"/>
          <w:szCs w:val="20"/>
        </w:rPr>
        <w:instrText>2</w:instrText>
      </w:r>
      <w:r>
        <w:instrText>))</w:instrText>
      </w:r>
      <w:r>
        <w:instrText>−</w:instrText>
      </w:r>
      <w:r>
        <w:instrText xml:space="preserve"> \F(</w:instrText>
      </w:r>
      <w:r>
        <w:rPr>
          <w:i/>
          <w:iCs/>
        </w:rPr>
        <w:instrText>z</w:instrText>
      </w:r>
      <w:r>
        <w:instrText>\s\do6(</w:instrText>
      </w:r>
      <w:r>
        <w:rPr>
          <w:i/>
          <w:iCs/>
          <w:sz w:val="20"/>
          <w:szCs w:val="20"/>
        </w:rPr>
        <w:instrText>i</w:instrText>
      </w:r>
      <w:r>
        <w:instrText>)+</w:instrText>
      </w:r>
      <w:r>
        <w:rPr>
          <w:i/>
          <w:iCs/>
        </w:rPr>
        <w:instrText>z</w:instrText>
      </w:r>
      <w:r>
        <w:instrText>,(</w:instrText>
      </w:r>
      <w:r>
        <w:rPr>
          <w:i/>
          <w:iCs/>
        </w:rPr>
        <w:instrText>y</w:instrText>
      </w:r>
      <w:r>
        <w:instrText>\s\do</w:instrText>
      </w:r>
      <w:r>
        <w:instrText>6(</w:instrText>
      </w:r>
      <w:r>
        <w:rPr>
          <w:i/>
          <w:iCs/>
          <w:sz w:val="20"/>
          <w:szCs w:val="20"/>
        </w:rPr>
        <w:instrText>i</w:instrText>
      </w:r>
      <w:r>
        <w:instrText>)</w:instrText>
      </w:r>
      <w:r>
        <w:instrText>−</w:instrText>
      </w:r>
      <w:r>
        <w:rPr>
          <w:i/>
          <w:iCs/>
        </w:rPr>
        <w:instrText>y</w:instrText>
      </w:r>
      <w:r>
        <w:instrText>)\s\up6(</w:instrText>
      </w:r>
      <w:r>
        <w:rPr>
          <w:sz w:val="20"/>
          <w:szCs w:val="20"/>
        </w:rPr>
        <w:instrText>2</w:instrText>
      </w:r>
      <w:r>
        <w:instrText>)+(</w:instrText>
      </w:r>
      <w:r>
        <w:rPr>
          <w:i/>
          <w:iCs/>
        </w:rPr>
        <w:instrText>z</w:instrText>
      </w:r>
      <w:r>
        <w:instrText>\s\do6(</w:instrText>
      </w:r>
      <w:r>
        <w:rPr>
          <w:i/>
          <w:iCs/>
          <w:sz w:val="20"/>
          <w:szCs w:val="20"/>
        </w:rPr>
        <w:instrText>i</w:instrText>
      </w:r>
      <w:r>
        <w:instrText>)+</w:instrText>
      </w:r>
      <w:r>
        <w:rPr>
          <w:i/>
          <w:iCs/>
        </w:rPr>
        <w:instrText>z</w:instrText>
      </w:r>
      <w:r>
        <w:instrText>)\s\up6(</w:instrText>
      </w:r>
      <w:r>
        <w:rPr>
          <w:sz w:val="20"/>
          <w:szCs w:val="20"/>
        </w:rPr>
        <w:instrText>2</w:instrText>
      </w:r>
      <w:r>
        <w:instrText>)))</w:instrText>
      </w:r>
      <w:r>
        <w:fldChar w:fldCharType="end"/>
      </w:r>
    </w:p>
    <w:p w:rsidR="00000000" w:rsidRDefault="00B4505B">
      <w:pPr>
        <w:pStyle w:val="equationArrayNum"/>
        <w:tabs>
          <w:tab w:val="right" w:pos="3902"/>
          <w:tab w:val="center" w:pos="4336"/>
          <w:tab w:val="left" w:pos="4769"/>
          <w:tab w:val="right" w:pos="8672"/>
        </w:tabs>
      </w:pPr>
      <w:r>
        <w:tab/>
      </w:r>
      <w:r>
        <w:fldChar w:fldCharType="begin"/>
      </w:r>
      <w:r>
        <w:instrText xml:space="preserve"> EQ </w:instrText>
      </w:r>
      <w:r>
        <w:rPr>
          <w:i/>
          <w:iCs/>
        </w:rPr>
        <w:instrText>w</w:instrText>
      </w:r>
      <w:r>
        <w:fldChar w:fldCharType="end"/>
      </w:r>
      <w:r>
        <w:tab/>
      </w:r>
      <w:r>
        <w:fldChar w:fldCharType="begin"/>
      </w:r>
      <w:r>
        <w:instrText xml:space="preserve"> EQ =</w:instrText>
      </w:r>
      <w:r>
        <w:fldChar w:fldCharType="end"/>
      </w:r>
      <w:r>
        <w:tab/>
      </w:r>
      <w:r>
        <w:fldChar w:fldCharType="begin"/>
      </w:r>
      <w:r>
        <w:instrText xml:space="preserve"> EQ  \i \su(</w:instrText>
      </w:r>
      <w:r>
        <w:rPr>
          <w:i/>
          <w:iCs/>
        </w:rPr>
        <w:instrText>i</w:instrText>
      </w:r>
      <w:r>
        <w:instrText>=1,8, ) \F(</w:instrText>
      </w:r>
      <w:r>
        <w:instrText>Γ</w:instrText>
      </w:r>
      <w:r>
        <w:instrText>\s\do6(</w:instrText>
      </w:r>
      <w:r>
        <w:rPr>
          <w:i/>
          <w:iCs/>
          <w:sz w:val="20"/>
          <w:szCs w:val="20"/>
        </w:rPr>
        <w:instrText>i</w:instrText>
      </w:r>
      <w:r>
        <w:instrText>),2</w:instrText>
      </w:r>
      <w:r>
        <w:instrText>π</w:instrText>
      </w:r>
      <w:r>
        <w:instrText>) \b \bc\[ (</w:instrText>
      </w:r>
      <w:r>
        <w:instrText>−</w:instrText>
      </w:r>
      <w:r>
        <w:instrText xml:space="preserve"> \F(</w:instrText>
      </w:r>
      <w:r>
        <w:rPr>
          <w:i/>
          <w:iCs/>
        </w:rPr>
        <w:instrText>y</w:instrText>
      </w:r>
      <w:r>
        <w:instrText>\s\do6(</w:instrText>
      </w:r>
      <w:r>
        <w:rPr>
          <w:i/>
          <w:iCs/>
          <w:sz w:val="20"/>
          <w:szCs w:val="20"/>
        </w:rPr>
        <w:instrText>i</w:instrText>
      </w:r>
      <w:r>
        <w:instrText>)</w:instrText>
      </w:r>
      <w:r>
        <w:instrText>−</w:instrText>
      </w:r>
      <w:r>
        <w:rPr>
          <w:i/>
          <w:iCs/>
        </w:rPr>
        <w:instrText>y</w:instrText>
      </w:r>
      <w:r>
        <w:instrText>,(</w:instrText>
      </w:r>
      <w:r>
        <w:rPr>
          <w:i/>
          <w:iCs/>
        </w:rPr>
        <w:instrText>y</w:instrText>
      </w:r>
      <w:r>
        <w:instrText>\s\do6(</w:instrText>
      </w:r>
      <w:r>
        <w:rPr>
          <w:i/>
          <w:iCs/>
          <w:sz w:val="20"/>
          <w:szCs w:val="20"/>
        </w:rPr>
        <w:instrText>i</w:instrText>
      </w:r>
      <w:r>
        <w:instrText>)</w:instrText>
      </w:r>
      <w:r>
        <w:instrText>−</w:instrText>
      </w:r>
      <w:r>
        <w:rPr>
          <w:i/>
          <w:iCs/>
        </w:rPr>
        <w:instrText>y</w:instrText>
      </w:r>
      <w:r>
        <w:instrText>)\s\up6(</w:instrText>
      </w:r>
      <w:r>
        <w:rPr>
          <w:sz w:val="20"/>
          <w:szCs w:val="20"/>
        </w:rPr>
        <w:instrText>2</w:instrText>
      </w:r>
      <w:r>
        <w:instrText>)+(</w:instrText>
      </w:r>
      <w:r>
        <w:rPr>
          <w:i/>
          <w:iCs/>
        </w:rPr>
        <w:instrText>z</w:instrText>
      </w:r>
      <w:r>
        <w:instrText>\s\do6(</w:instrText>
      </w:r>
      <w:r>
        <w:rPr>
          <w:i/>
          <w:iCs/>
          <w:sz w:val="20"/>
          <w:szCs w:val="20"/>
        </w:rPr>
        <w:instrText>i</w:instrText>
      </w:r>
      <w:r>
        <w:instrText>)</w:instrText>
      </w:r>
      <w:r>
        <w:instrText>−</w:instrText>
      </w:r>
      <w:r>
        <w:rPr>
          <w:i/>
          <w:iCs/>
        </w:rPr>
        <w:instrText>z</w:instrText>
      </w:r>
      <w:r>
        <w:instrText>)\s\up6(</w:instrText>
      </w:r>
      <w:r>
        <w:rPr>
          <w:sz w:val="20"/>
          <w:szCs w:val="20"/>
        </w:rPr>
        <w:instrText>2</w:instrText>
      </w:r>
      <w:r>
        <w:instrText>))+ \F(</w:instrText>
      </w:r>
      <w:r>
        <w:rPr>
          <w:i/>
          <w:iCs/>
        </w:rPr>
        <w:instrText>y</w:instrText>
      </w:r>
      <w:r>
        <w:instrText>\s\do6(</w:instrText>
      </w:r>
      <w:r>
        <w:rPr>
          <w:i/>
          <w:iCs/>
          <w:sz w:val="20"/>
          <w:szCs w:val="20"/>
        </w:rPr>
        <w:instrText>i</w:instrText>
      </w:r>
      <w:r>
        <w:instrText>)</w:instrText>
      </w:r>
      <w:r>
        <w:instrText>−</w:instrText>
      </w:r>
      <w:r>
        <w:rPr>
          <w:i/>
          <w:iCs/>
        </w:rPr>
        <w:instrText>y</w:instrText>
      </w:r>
      <w:r>
        <w:instrText>,(</w:instrText>
      </w:r>
      <w:r>
        <w:rPr>
          <w:i/>
          <w:iCs/>
        </w:rPr>
        <w:instrText>y</w:instrText>
      </w:r>
      <w:r>
        <w:instrText>\s\do6(</w:instrText>
      </w:r>
      <w:r>
        <w:rPr>
          <w:i/>
          <w:iCs/>
          <w:sz w:val="20"/>
          <w:szCs w:val="20"/>
        </w:rPr>
        <w:instrText>i</w:instrText>
      </w:r>
      <w:r>
        <w:instrText>)</w:instrText>
      </w:r>
      <w:r>
        <w:instrText>−</w:instrText>
      </w:r>
      <w:r>
        <w:rPr>
          <w:i/>
          <w:iCs/>
        </w:rPr>
        <w:instrText>y</w:instrText>
      </w:r>
      <w:r>
        <w:instrText>)\s\up6(</w:instrText>
      </w:r>
      <w:r>
        <w:rPr>
          <w:sz w:val="20"/>
          <w:szCs w:val="20"/>
        </w:rPr>
        <w:instrText>2</w:instrText>
      </w:r>
      <w:r>
        <w:instrText>)+(</w:instrText>
      </w:r>
      <w:r>
        <w:rPr>
          <w:i/>
          <w:iCs/>
        </w:rPr>
        <w:instrText>z</w:instrText>
      </w:r>
      <w:r>
        <w:instrText>\s\do6(</w:instrText>
      </w:r>
      <w:r>
        <w:rPr>
          <w:i/>
          <w:iCs/>
          <w:sz w:val="20"/>
          <w:szCs w:val="20"/>
        </w:rPr>
        <w:instrText>i</w:instrText>
      </w:r>
      <w:r>
        <w:instrText>)+</w:instrText>
      </w:r>
      <w:r>
        <w:rPr>
          <w:i/>
          <w:iCs/>
        </w:rPr>
        <w:instrText>z</w:instrText>
      </w:r>
      <w:r>
        <w:instrText>)\s\up6(</w:instrText>
      </w:r>
      <w:r>
        <w:rPr>
          <w:sz w:val="20"/>
          <w:szCs w:val="20"/>
        </w:rPr>
        <w:instrText>2</w:instrText>
      </w:r>
      <w:r>
        <w:instrText>)))</w:instrText>
      </w:r>
      <w:r>
        <w:fldChar w:fldCharType="end"/>
      </w:r>
      <w:r>
        <w:tab/>
        <w:t>(</w:t>
      </w:r>
      <w:bookmarkStart w:id="39" w:name="BMeq_w_induce"/>
      <w:r>
        <w:t>27</w:t>
      </w:r>
      <w:bookmarkEnd w:id="39"/>
      <w:r>
        <w:t>)</w:t>
      </w:r>
    </w:p>
    <w:p w:rsidR="00000000" w:rsidRDefault="00B4505B">
      <w:r>
        <w:t>where (</w:t>
      </w:r>
      <w:r>
        <w:fldChar w:fldCharType="begin"/>
      </w:r>
      <w:r>
        <w:instrText xml:space="preserve"> EQ </w:instrText>
      </w:r>
      <w:r>
        <w:rPr>
          <w:i/>
          <w:iCs/>
        </w:rPr>
        <w:instrText>y</w:instrText>
      </w:r>
      <w:r>
        <w:instrText>\s\do6(</w:instrText>
      </w:r>
      <w:r>
        <w:rPr>
          <w:i/>
          <w:iCs/>
          <w:sz w:val="20"/>
          <w:szCs w:val="20"/>
        </w:rPr>
        <w:instrText>i</w:instrText>
      </w:r>
      <w:r>
        <w:instrText>)</w:instrText>
      </w:r>
      <w:r>
        <w:fldChar w:fldCharType="end"/>
      </w:r>
      <w:r>
        <w:t>,</w:t>
      </w:r>
      <w:r>
        <w:fldChar w:fldCharType="begin"/>
      </w:r>
      <w:r>
        <w:instrText xml:space="preserve"> EQ </w:instrText>
      </w:r>
      <w:r>
        <w:rPr>
          <w:i/>
          <w:iCs/>
        </w:rPr>
        <w:instrText>z</w:instrText>
      </w:r>
      <w:r>
        <w:instrText>\s\do6(</w:instrText>
      </w:r>
      <w:r>
        <w:rPr>
          <w:i/>
          <w:iCs/>
          <w:sz w:val="20"/>
          <w:szCs w:val="20"/>
        </w:rPr>
        <w:instrText>i</w:instrText>
      </w:r>
      <w:r>
        <w:instrText>)</w:instrText>
      </w:r>
      <w:r>
        <w:fldChar w:fldCharType="end"/>
      </w:r>
      <w:r>
        <w:t xml:space="preserve">), </w:t>
      </w:r>
      <w:r>
        <w:rPr>
          <w:i/>
          <w:iCs/>
        </w:rPr>
        <w:t>i</w:t>
      </w:r>
      <w:r>
        <w:t xml:space="preserve">=1,8 are the positions of the 8 vortices. Note that when the induction is computed at the position of one of the primary vortices, the terms corresponding to the vortex induction on </w:t>
      </w:r>
      <w:r>
        <w:t>itself take the indeterminate form 0/0. Since a 2D vortex induces no velocity at its center, the correct resolution of the indeterminate form is 0. This case is treated with a logic statement in the computer code.</w:t>
      </w:r>
    </w:p>
    <w:p w:rsidR="00000000" w:rsidRDefault="00B4505B">
      <w:pPr>
        <w:ind w:firstLine="360"/>
      </w:pPr>
      <w:r>
        <w:t>In order to obtain a numerical solution fo</w:t>
      </w:r>
      <w:r>
        <w:t>r the primary vortex circulation decay and primary vortex trajectory, we cast the problem as a system of first order differential equations that can be integrated forward in time using standard algorithms. Thus we use the primary circulation decay specific</w:t>
      </w:r>
      <w:r>
        <w:t>ation in the form of Eq. (</w:t>
      </w:r>
      <w:fldSimple w:instr="REF BMeq_decay_rate \* MERGEFORMAT ">
        <w:r>
          <w:t>20</w:t>
        </w:r>
      </w:fldSimple>
      <w:r>
        <w:t xml:space="preserve">) (with </w:t>
      </w:r>
      <w:r>
        <w:fldChar w:fldCharType="begin"/>
      </w:r>
      <w:r>
        <w:instrText xml:space="preserve"> EQ </w:instrText>
      </w:r>
      <w:r>
        <w:instrText>Γ</w:instrText>
      </w:r>
      <w:r>
        <w:instrText>\s\do6(</w:instrText>
      </w:r>
      <w:r>
        <w:rPr>
          <w:sz w:val="20"/>
          <w:szCs w:val="20"/>
        </w:rPr>
        <w:instrText>∞</w:instrText>
      </w:r>
      <w:r>
        <w:instrText>)</w:instrText>
      </w:r>
      <w:r>
        <w:fldChar w:fldCharType="end"/>
      </w:r>
      <w:r>
        <w:t xml:space="preserve"> replaced </w:t>
      </w:r>
      <w:r>
        <w:lastRenderedPageBreak/>
        <w:t xml:space="preserve">with </w:t>
      </w:r>
      <w:r>
        <w:fldChar w:fldCharType="begin"/>
      </w:r>
      <w:r>
        <w:instrText xml:space="preserve"> EQ </w:instrText>
      </w:r>
      <w:r>
        <w:instrText>Γ</w:instrText>
      </w:r>
      <w:r>
        <w:instrText>\s\do6(</w:instrText>
      </w:r>
      <w:r>
        <w:rPr>
          <w:i/>
          <w:iCs/>
          <w:sz w:val="20"/>
          <w:szCs w:val="20"/>
        </w:rPr>
        <w:instrText>p</w:instrText>
      </w:r>
      <w:r>
        <w:instrText>)</w:instrText>
      </w:r>
      <w:r>
        <w:fldChar w:fldCharType="end"/>
      </w:r>
      <w:r>
        <w:t xml:space="preserve"> and </w:t>
      </w:r>
      <w:r>
        <w:fldChar w:fldCharType="begin"/>
      </w:r>
      <w:r>
        <w:instrText xml:space="preserve"> EQ </w:instrText>
      </w:r>
      <w:r>
        <w:instrText>Γ</w:instrText>
      </w:r>
      <w:r>
        <w:instrText>\s\do6(</w:instrText>
      </w:r>
      <w:r>
        <w:rPr>
          <w:i/>
          <w:iCs/>
          <w:sz w:val="20"/>
          <w:szCs w:val="20"/>
        </w:rPr>
        <w:instrText>s</w:instrText>
      </w:r>
      <w:r>
        <w:instrText>)</w:instrText>
      </w:r>
      <w:r>
        <w:fldChar w:fldCharType="end"/>
      </w:r>
      <w:r>
        <w:t xml:space="preserve">) together with the kinematic relations </w:t>
      </w:r>
      <w:r>
        <w:fldChar w:fldCharType="begin"/>
      </w:r>
      <w:r>
        <w:instrText xml:space="preserve"> EQ </w:instrText>
      </w:r>
      <w:r>
        <w:rPr>
          <w:i/>
          <w:iCs/>
        </w:rPr>
        <w:instrText>dy</w:instrText>
      </w:r>
      <w:r>
        <w:instrText>\s\do6(</w:instrText>
      </w:r>
      <w:r>
        <w:rPr>
          <w:i/>
          <w:iCs/>
          <w:sz w:val="20"/>
          <w:szCs w:val="20"/>
        </w:rPr>
        <w:instrText>p</w:instrText>
      </w:r>
      <w:r>
        <w:instrText>)/</w:instrText>
      </w:r>
      <w:r>
        <w:rPr>
          <w:i/>
          <w:iCs/>
        </w:rPr>
        <w:instrText>dt</w:instrText>
      </w:r>
      <w:r>
        <w:instrText>=</w:instrText>
      </w:r>
      <w:r>
        <w:rPr>
          <w:i/>
          <w:iCs/>
        </w:rPr>
        <w:instrText>v</w:instrText>
      </w:r>
      <w:r>
        <w:instrText>\s\do6(</w:instrText>
      </w:r>
      <w:r>
        <w:rPr>
          <w:i/>
          <w:iCs/>
          <w:sz w:val="20"/>
          <w:szCs w:val="20"/>
        </w:rPr>
        <w:instrText>p</w:instrText>
      </w:r>
      <w:r>
        <w:instrText>)</w:instrText>
      </w:r>
      <w:r>
        <w:fldChar w:fldCharType="end"/>
      </w:r>
      <w:r>
        <w:t xml:space="preserve">, </w:t>
      </w:r>
      <w:r>
        <w:fldChar w:fldCharType="begin"/>
      </w:r>
      <w:r>
        <w:instrText xml:space="preserve"> EQ </w:instrText>
      </w:r>
      <w:r>
        <w:rPr>
          <w:i/>
          <w:iCs/>
        </w:rPr>
        <w:instrText>dz</w:instrText>
      </w:r>
      <w:r>
        <w:instrText>\s\do6(</w:instrText>
      </w:r>
      <w:r>
        <w:rPr>
          <w:i/>
          <w:iCs/>
          <w:sz w:val="20"/>
          <w:szCs w:val="20"/>
        </w:rPr>
        <w:instrText>p</w:instrText>
      </w:r>
      <w:r>
        <w:instrText>)/</w:instrText>
      </w:r>
      <w:r>
        <w:rPr>
          <w:i/>
          <w:iCs/>
        </w:rPr>
        <w:instrText>dt</w:instrText>
      </w:r>
      <w:r>
        <w:instrText>=</w:instrText>
      </w:r>
      <w:r>
        <w:rPr>
          <w:i/>
          <w:iCs/>
        </w:rPr>
        <w:instrText>w</w:instrText>
      </w:r>
      <w:r>
        <w:instrText>\s\do6(</w:instrText>
      </w:r>
      <w:r>
        <w:rPr>
          <w:i/>
          <w:iCs/>
          <w:sz w:val="20"/>
          <w:szCs w:val="20"/>
        </w:rPr>
        <w:instrText>p</w:instrText>
      </w:r>
      <w:r>
        <w:instrText>)</w:instrText>
      </w:r>
      <w:r>
        <w:fldChar w:fldCharType="end"/>
      </w:r>
      <w:r>
        <w:t xml:space="preserve">, </w:t>
      </w:r>
      <w:r>
        <w:fldChar w:fldCharType="begin"/>
      </w:r>
      <w:r>
        <w:instrText xml:space="preserve"> EQ </w:instrText>
      </w:r>
      <w:r>
        <w:rPr>
          <w:i/>
          <w:iCs/>
        </w:rPr>
        <w:instrText>dy</w:instrText>
      </w:r>
      <w:r>
        <w:instrText>\s</w:instrText>
      </w:r>
      <w:r>
        <w:instrText>\do6(</w:instrText>
      </w:r>
      <w:r>
        <w:rPr>
          <w:i/>
          <w:iCs/>
          <w:sz w:val="20"/>
          <w:szCs w:val="20"/>
        </w:rPr>
        <w:instrText>s</w:instrText>
      </w:r>
      <w:r>
        <w:instrText>)/</w:instrText>
      </w:r>
      <w:r>
        <w:rPr>
          <w:i/>
          <w:iCs/>
        </w:rPr>
        <w:instrText>dt</w:instrText>
      </w:r>
      <w:r>
        <w:instrText>=</w:instrText>
      </w:r>
      <w:r>
        <w:rPr>
          <w:i/>
          <w:iCs/>
        </w:rPr>
        <w:instrText>v</w:instrText>
      </w:r>
      <w:r>
        <w:instrText>\s\do6(</w:instrText>
      </w:r>
      <w:r>
        <w:rPr>
          <w:i/>
          <w:iCs/>
          <w:sz w:val="20"/>
          <w:szCs w:val="20"/>
        </w:rPr>
        <w:instrText>s</w:instrText>
      </w:r>
      <w:r>
        <w:instrText>)</w:instrText>
      </w:r>
      <w:r>
        <w:fldChar w:fldCharType="end"/>
      </w:r>
      <w:r>
        <w:t xml:space="preserve">, </w:t>
      </w:r>
      <w:r>
        <w:fldChar w:fldCharType="begin"/>
      </w:r>
      <w:r>
        <w:instrText xml:space="preserve"> EQ </w:instrText>
      </w:r>
      <w:r>
        <w:rPr>
          <w:i/>
          <w:iCs/>
        </w:rPr>
        <w:instrText>dz</w:instrText>
      </w:r>
      <w:r>
        <w:instrText>\s\do6(</w:instrText>
      </w:r>
      <w:r>
        <w:rPr>
          <w:i/>
          <w:iCs/>
          <w:sz w:val="20"/>
          <w:szCs w:val="20"/>
        </w:rPr>
        <w:instrText>s</w:instrText>
      </w:r>
      <w:r>
        <w:instrText>)/</w:instrText>
      </w:r>
      <w:r>
        <w:rPr>
          <w:i/>
          <w:iCs/>
        </w:rPr>
        <w:instrText>dt</w:instrText>
      </w:r>
      <w:r>
        <w:instrText>=</w:instrText>
      </w:r>
      <w:r>
        <w:rPr>
          <w:i/>
          <w:iCs/>
        </w:rPr>
        <w:instrText>w</w:instrText>
      </w:r>
      <w:r>
        <w:instrText>\s\do6(</w:instrText>
      </w:r>
      <w:r>
        <w:rPr>
          <w:i/>
          <w:iCs/>
          <w:sz w:val="20"/>
          <w:szCs w:val="20"/>
        </w:rPr>
        <w:instrText>s</w:instrText>
      </w:r>
      <w:r>
        <w:instrText>)</w:instrText>
      </w:r>
      <w:r>
        <w:fldChar w:fldCharType="end"/>
      </w:r>
      <w:r>
        <w:t>. We use a flexible Runge-Kutta algorithm for the time advancement that can be set to any desired order of accuracy. Currently we use the second order variant.</w:t>
      </w:r>
    </w:p>
    <w:p w:rsidR="00000000" w:rsidRDefault="00B4505B">
      <w:pPr>
        <w:ind w:firstLine="360"/>
      </w:pPr>
      <w:r>
        <w:t>Although we generally begin with symmetric initial conditions (</w:t>
      </w:r>
      <w:r>
        <w:fldChar w:fldCharType="begin"/>
      </w:r>
      <w:r>
        <w:instrText xml:space="preserve"> EQ </w:instrText>
      </w:r>
      <w:r>
        <w:instrText>Γ</w:instrText>
      </w:r>
      <w:r>
        <w:instrText>\s\do6(</w:instrText>
      </w:r>
      <w:r>
        <w:rPr>
          <w:i/>
          <w:iCs/>
          <w:sz w:val="20"/>
          <w:szCs w:val="20"/>
        </w:rPr>
        <w:instrText>p</w:instrText>
      </w:r>
      <w:r>
        <w:instrText>)=</w:instrText>
      </w:r>
      <w:r>
        <w:instrText>−</w:instrText>
      </w:r>
      <w:r>
        <w:instrText>Γ</w:instrText>
      </w:r>
      <w:r>
        <w:instrText>\s\do6(</w:instrText>
      </w:r>
      <w:r>
        <w:rPr>
          <w:i/>
          <w:iCs/>
          <w:sz w:val="20"/>
          <w:szCs w:val="20"/>
        </w:rPr>
        <w:instrText>s</w:instrText>
      </w:r>
      <w:r>
        <w:instrText>)</w:instrText>
      </w:r>
      <w:r>
        <w:fldChar w:fldCharType="end"/>
      </w:r>
      <w:r>
        <w:t xml:space="preserve">, </w:t>
      </w:r>
      <w:r>
        <w:fldChar w:fldCharType="begin"/>
      </w:r>
      <w:r>
        <w:instrText xml:space="preserve"> EQ </w:instrText>
      </w:r>
      <w:r>
        <w:rPr>
          <w:i/>
          <w:iCs/>
        </w:rPr>
        <w:instrText>y</w:instrText>
      </w:r>
      <w:r>
        <w:instrText>\s\do6(</w:instrText>
      </w:r>
      <w:r>
        <w:rPr>
          <w:i/>
          <w:iCs/>
          <w:sz w:val="20"/>
          <w:szCs w:val="20"/>
        </w:rPr>
        <w:instrText>p</w:instrText>
      </w:r>
      <w:r>
        <w:instrText>)=</w:instrText>
      </w:r>
      <w:r>
        <w:instrText>−</w:instrText>
      </w:r>
      <w:r>
        <w:rPr>
          <w:i/>
          <w:iCs/>
        </w:rPr>
        <w:instrText>y</w:instrText>
      </w:r>
      <w:r>
        <w:instrText>\s\do6(</w:instrText>
      </w:r>
      <w:r>
        <w:rPr>
          <w:i/>
          <w:iCs/>
          <w:sz w:val="20"/>
          <w:szCs w:val="20"/>
        </w:rPr>
        <w:instrText>s</w:instrText>
      </w:r>
      <w:r>
        <w:instrText>)</w:instrText>
      </w:r>
      <w:r>
        <w:fldChar w:fldCharType="end"/>
      </w:r>
      <w:r>
        <w:t xml:space="preserve">, </w:t>
      </w:r>
      <w:r>
        <w:fldChar w:fldCharType="begin"/>
      </w:r>
      <w:r>
        <w:instrText xml:space="preserve"> EQ </w:instrText>
      </w:r>
      <w:r>
        <w:rPr>
          <w:i/>
          <w:iCs/>
        </w:rPr>
        <w:instrText>z</w:instrText>
      </w:r>
      <w:r>
        <w:instrText>\s\do6(</w:instrText>
      </w:r>
      <w:r>
        <w:rPr>
          <w:i/>
          <w:iCs/>
          <w:sz w:val="20"/>
          <w:szCs w:val="20"/>
        </w:rPr>
        <w:instrText>p</w:instrText>
      </w:r>
      <w:r>
        <w:instrText>)=</w:instrText>
      </w:r>
      <w:r>
        <w:rPr>
          <w:i/>
          <w:iCs/>
        </w:rPr>
        <w:instrText>z</w:instrText>
      </w:r>
      <w:r>
        <w:instrText>\s\do6(</w:instrText>
      </w:r>
      <w:r>
        <w:rPr>
          <w:i/>
          <w:iCs/>
          <w:sz w:val="20"/>
          <w:szCs w:val="20"/>
        </w:rPr>
        <w:instrText>s</w:instrText>
      </w:r>
      <w:r>
        <w:instrText>)</w:instrText>
      </w:r>
      <w:r>
        <w:fldChar w:fldCharType="end"/>
      </w:r>
      <w:r>
        <w:t>), the solution procedure is set up to allow for asymmetric situations. These can either arise due to asym</w:t>
      </w:r>
      <w:r>
        <w:t xml:space="preserve">metric initial conditions or asymmetric decay in the primary vortices (due to crosswind shear gradients, for example). In the case of an asymmetric situation, the halo vortices retain their positions as listed in Table </w:t>
      </w:r>
      <w:fldSimple w:instr="REF BMtable_halo_coords \* MERGEFORMAT ">
        <w:r>
          <w:t>1</w:t>
        </w:r>
      </w:fldSimple>
      <w:r>
        <w:t>, but these are now measured in a local coordinate system defined by the two primary vortices. The strengths of the halo vortices are computed independently for each half of the wake system, using the corresponding value of the primary vortex circula</w:t>
      </w:r>
      <w:r>
        <w:t>tion. Other than these details, no other changes are required in the solution procedure.</w:t>
      </w:r>
    </w:p>
    <w:p w:rsidR="00000000" w:rsidRDefault="00B4505B">
      <w:pPr>
        <w:pStyle w:val="Heading3"/>
        <w:widowControl/>
        <w:spacing w:before="120"/>
      </w:pPr>
      <w:r>
        <w:t>5.4  Initial Validation of the Fast Wake Model</w:t>
      </w:r>
    </w:p>
    <w:p w:rsidR="00000000" w:rsidRDefault="00B4505B">
      <w:pPr>
        <w:pStyle w:val="Figure"/>
        <w:spacing w:before="300"/>
        <w:rPr>
          <w:sz w:val="24"/>
          <w:szCs w:val="24"/>
        </w:rPr>
      </w:pPr>
    </w:p>
    <w:p w:rsidR="00000000" w:rsidRDefault="00B4505B">
      <w:pPr>
        <w:pStyle w:val="centerpar"/>
        <w:ind w:firstLine="360"/>
      </w:pPr>
      <w:r>
        <w:drawing>
          <wp:inline distT="0" distB="0" distL="0" distR="0">
            <wp:extent cx="4114800" cy="28829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4114800" cy="2882900"/>
                    </a:xfrm>
                    <a:prstGeom prst="rect">
                      <a:avLst/>
                    </a:prstGeom>
                    <a:noFill/>
                    <a:ln w="9525">
                      <a:noFill/>
                      <a:miter lim="800000"/>
                      <a:headEnd/>
                      <a:tailEnd/>
                    </a:ln>
                  </pic:spPr>
                </pic:pic>
              </a:graphicData>
            </a:graphic>
          </wp:inline>
        </w:drawing>
      </w:r>
      <w:r>
        <w:t xml:space="preserve"> </w:t>
      </w:r>
    </w:p>
    <w:p w:rsidR="00000000" w:rsidRDefault="00B4505B">
      <w:pPr>
        <w:pStyle w:val="Caption"/>
      </w:pPr>
      <w:r>
        <w:t xml:space="preserve">Figure </w:t>
      </w:r>
      <w:bookmarkStart w:id="40" w:name="BMfig_compare_traject"/>
      <w:r>
        <w:t>13</w:t>
      </w:r>
      <w:bookmarkEnd w:id="40"/>
      <w:r>
        <w:t>: Vortex trajectory computed b</w:t>
      </w:r>
      <w:r>
        <w:t>y the fast wake model compared with the numerical simulation.</w:t>
      </w:r>
      <w:r>
        <w:fldChar w:fldCharType="begin"/>
      </w:r>
      <w:r>
        <w:instrText>TC "13 Vortex trajectory computed by the fast wake model compared with the numerical simulation." \f f</w:instrText>
      </w:r>
      <w:r>
        <w:fldChar w:fldCharType="end"/>
      </w:r>
    </w:p>
    <w:p w:rsidR="00000000" w:rsidRDefault="00B4505B">
      <w:pPr>
        <w:spacing w:before="240"/>
        <w:ind w:firstLine="360"/>
      </w:pPr>
      <w:r>
        <w:t>The first step in the model validation is to ensure that it can accurately reproduce the n</w:t>
      </w:r>
      <w:r>
        <w:t>umerical simulation from which it was constructed. While this may seem like a unnecessary step, several approximations have been made in the construction of the model. These have do do with the halo vortex positions, as well as their circulation time histo</w:t>
      </w:r>
      <w:r>
        <w:t xml:space="preserve">ries. It is thus important to assess the impact of these approximations. There is no need to check the primary vortex circulation decay as these are simply inputs to both the fast wake model and to the numerical simulations (see Figure </w:t>
      </w:r>
      <w:fldSimple w:instr="REF BMfig_circulation_history \* MERGEFORMAT ">
        <w:r>
          <w:t>4</w:t>
        </w:r>
      </w:fldSimple>
      <w:r>
        <w:t xml:space="preserve">). </w:t>
      </w:r>
    </w:p>
    <w:p w:rsidR="00000000" w:rsidRDefault="00B4505B">
      <w:pPr>
        <w:ind w:firstLine="360"/>
      </w:pPr>
      <w:r>
        <w:t xml:space="preserve">Results of the model/numerical simulation comparison for the vortex trajectories are shown in Figure </w:t>
      </w:r>
      <w:fldSimple w:instr="REF BMfig_compare_traject \* MERGEFORMAT ">
        <w:r>
          <w:t>13</w:t>
        </w:r>
      </w:fldSimple>
      <w:r>
        <w:t xml:space="preserve">. The agreement is surprisingly good, showing no visible difference between </w:t>
      </w:r>
      <w:r>
        <w:t xml:space="preserve">the model prediction and the simulation data. This result is significant since it </w:t>
      </w:r>
      <w:r>
        <w:lastRenderedPageBreak/>
        <w:t>indicates that the approximations made in modeling the positions and strengths of the halo vortices have almost no bearing on the accuracy of the computed trajectory.</w:t>
      </w:r>
    </w:p>
    <w:p w:rsidR="00000000" w:rsidRDefault="00B4505B">
      <w:pPr>
        <w:pStyle w:val="Heading3"/>
        <w:widowControl/>
        <w:spacing w:before="120"/>
      </w:pPr>
      <w:r>
        <w:t>5.5  In</w:t>
      </w:r>
      <w:r>
        <w:t>itial Validation/Tuning against Aircraft Landing Data</w:t>
      </w:r>
    </w:p>
    <w:p w:rsidR="00000000" w:rsidRDefault="00B4505B">
      <w:pPr>
        <w:pStyle w:val="Figure"/>
        <w:spacing w:before="300"/>
        <w:rPr>
          <w:sz w:val="24"/>
          <w:szCs w:val="24"/>
        </w:rPr>
      </w:pPr>
    </w:p>
    <w:p w:rsidR="00000000" w:rsidRDefault="00B4505B">
      <w:pPr>
        <w:pStyle w:val="centerpar"/>
        <w:ind w:firstLine="360"/>
      </w:pPr>
      <w:r>
        <w:drawing>
          <wp:inline distT="0" distB="0" distL="0" distR="0">
            <wp:extent cx="4114800" cy="28829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4114800" cy="2882900"/>
                    </a:xfrm>
                    <a:prstGeom prst="rect">
                      <a:avLst/>
                    </a:prstGeom>
                    <a:noFill/>
                    <a:ln w="9525">
                      <a:noFill/>
                      <a:miter lim="800000"/>
                      <a:headEnd/>
                      <a:tailEnd/>
                    </a:ln>
                  </pic:spPr>
                </pic:pic>
              </a:graphicData>
            </a:graphic>
          </wp:inline>
        </w:drawing>
      </w:r>
      <w:r>
        <w:t xml:space="preserve"> </w:t>
      </w:r>
    </w:p>
    <w:p w:rsidR="00000000" w:rsidRDefault="00B4505B">
      <w:pPr>
        <w:pStyle w:val="centerpar"/>
        <w:ind w:firstLine="360"/>
      </w:pPr>
      <w:r>
        <w:drawing>
          <wp:inline distT="0" distB="0" distL="0" distR="0">
            <wp:extent cx="4114800" cy="28829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4114800" cy="2882900"/>
                    </a:xfrm>
                    <a:prstGeom prst="rect">
                      <a:avLst/>
                    </a:prstGeom>
                    <a:noFill/>
                    <a:ln w="9525">
                      <a:noFill/>
                      <a:miter lim="800000"/>
                      <a:headEnd/>
                      <a:tailEnd/>
                    </a:ln>
                  </pic:spPr>
                </pic:pic>
              </a:graphicData>
            </a:graphic>
          </wp:inline>
        </w:drawing>
      </w:r>
    </w:p>
    <w:p w:rsidR="00000000" w:rsidRDefault="00B4505B">
      <w:pPr>
        <w:pStyle w:val="Caption"/>
      </w:pPr>
      <w:r>
        <w:t xml:space="preserve">Figure </w:t>
      </w:r>
      <w:bookmarkStart w:id="41" w:name="BMfig_base_case"/>
      <w:r>
        <w:t>14</w:t>
      </w:r>
      <w:bookmarkEnd w:id="41"/>
      <w:r>
        <w:t>: Comparison of the model prediction against the baseline landing data that have low tu</w:t>
      </w:r>
      <w:r>
        <w:t>rbulence, stratification, and crosswind shear gradient.</w:t>
      </w:r>
      <w:r>
        <w:fldChar w:fldCharType="begin"/>
      </w:r>
      <w:r>
        <w:instrText>TC "14 Comparison of the model prediction against the baseline landing data that have low turbulence, stratification, and crosswind shear gradient." \f f</w:instrText>
      </w:r>
      <w:r>
        <w:fldChar w:fldCharType="end"/>
      </w:r>
    </w:p>
    <w:p w:rsidR="00000000" w:rsidRDefault="00B4505B">
      <w:pPr>
        <w:spacing w:before="240"/>
        <w:ind w:firstLine="360"/>
      </w:pPr>
      <w:r>
        <w:t xml:space="preserve">The next step in the model validation/tuning </w:t>
      </w:r>
      <w:r>
        <w:t>process is to compare it against aircraft landing data. We chose the Frankfurt 2004 landing data set since it seems to have the most believable circulation measurements. We begin this exercise by considering those cases that have simultaneously low ambient</w:t>
      </w:r>
      <w:r>
        <w:t xml:space="preserve"> turbulence, low stable stratification, and low crosswind shear gradient. There are 7 of these ’baseline’ cases that have benign </w:t>
      </w:r>
      <w:r>
        <w:lastRenderedPageBreak/>
        <w:t>environmental conditions. Rather than compare the model prediction with each case independently, we average the non-dimensional</w:t>
      </w:r>
      <w:r>
        <w:t xml:space="preserve"> predictions for the individual cases and compare with this with the field measurements for all of the cases. This step greatly enhances the sample of measurement values and simplifies the validation/tuning process since it is only necessary to consider tw</w:t>
      </w:r>
      <w:r>
        <w:t>o plots, one for the primary vortex circulation and one for the vortex vertical trajectory.</w:t>
      </w:r>
    </w:p>
    <w:p w:rsidR="00000000" w:rsidRDefault="00B4505B">
      <w:pPr>
        <w:pStyle w:val="Table"/>
        <w:spacing w:before="240"/>
        <w:rPr>
          <w:sz w:val="24"/>
          <w:szCs w:val="24"/>
        </w:rPr>
      </w:pPr>
    </w:p>
    <w:p w:rsidR="00000000" w:rsidRDefault="00B4505B">
      <w:pPr>
        <w:pStyle w:val="Table"/>
        <w:rPr>
          <w:sz w:val="24"/>
          <w:szCs w:val="24"/>
        </w:rPr>
      </w:pPr>
    </w:p>
    <w:tbl>
      <w:tblPr>
        <w:tblW w:w="0" w:type="auto"/>
        <w:tblInd w:w="8" w:type="dxa"/>
        <w:tblLayout w:type="fixed"/>
        <w:tblCellMar>
          <w:left w:w="0" w:type="dxa"/>
          <w:right w:w="0" w:type="dxa"/>
        </w:tblCellMar>
        <w:tblLook w:val="0000"/>
      </w:tblPr>
      <w:tblGrid>
        <w:gridCol w:w="3126"/>
        <w:gridCol w:w="1714"/>
        <w:gridCol w:w="1512"/>
        <w:gridCol w:w="2319"/>
      </w:tblGrid>
      <w:tr w:rsidR="00000000">
        <w:tblPrEx>
          <w:tblCellMar>
            <w:top w:w="0" w:type="dxa"/>
            <w:left w:w="0" w:type="dxa"/>
            <w:bottom w:w="0" w:type="dxa"/>
            <w:right w:w="0" w:type="dxa"/>
          </w:tblCellMar>
        </w:tblPrEx>
        <w:tc>
          <w:tcPr>
            <w:tcW w:w="3126" w:type="dxa"/>
            <w:tcBorders>
              <w:top w:val="single" w:sz="6" w:space="0" w:color="auto"/>
              <w:left w:val="single" w:sz="6" w:space="0" w:color="auto"/>
              <w:bottom w:val="single" w:sz="6" w:space="0" w:color="auto"/>
              <w:right w:val="single" w:sz="6" w:space="0" w:color="auto"/>
            </w:tcBorders>
          </w:tcPr>
          <w:p w:rsidR="00000000" w:rsidRDefault="00B4505B">
            <w:pPr>
              <w:jc w:val="center"/>
            </w:pPr>
            <w:r>
              <w:t xml:space="preserve"> </w:t>
            </w:r>
            <w:r>
              <w:fldChar w:fldCharType="begin"/>
            </w:r>
            <w:r>
              <w:instrText xml:space="preserve"> EQ </w:instrText>
            </w:r>
            <w:r>
              <w:rPr>
                <w:i/>
                <w:iCs/>
              </w:rPr>
              <w:instrText>f</w:instrText>
            </w:r>
            <w:r>
              <w:instrText>\s\do6(</w:instrText>
            </w:r>
            <w:r>
              <w:rPr>
                <w:sz w:val="20"/>
                <w:szCs w:val="20"/>
              </w:rPr>
              <w:instrText>10</w:instrText>
            </w:r>
            <w:r>
              <w:instrText>)</w:instrText>
            </w:r>
            <w:r>
              <w:fldChar w:fldCharType="end"/>
            </w:r>
          </w:p>
        </w:tc>
        <w:tc>
          <w:tcPr>
            <w:tcW w:w="1714" w:type="dxa"/>
            <w:tcBorders>
              <w:top w:val="single" w:sz="6" w:space="0" w:color="auto"/>
              <w:left w:val="single" w:sz="6" w:space="0" w:color="auto"/>
              <w:bottom w:val="single" w:sz="6" w:space="0" w:color="auto"/>
              <w:right w:val="single" w:sz="6" w:space="0" w:color="auto"/>
            </w:tcBorders>
          </w:tcPr>
          <w:p w:rsidR="00000000" w:rsidRDefault="00B4505B">
            <w:pPr>
              <w:jc w:val="center"/>
            </w:pPr>
            <w:r>
              <w:fldChar w:fldCharType="begin"/>
            </w:r>
            <w:r>
              <w:instrText xml:space="preserve"> EQ </w:instrText>
            </w:r>
            <w:r>
              <w:rPr>
                <w:i/>
                <w:iCs/>
              </w:rPr>
              <w:instrText>f</w:instrText>
            </w:r>
            <w:r>
              <w:instrText>\s\do6(</w:instrText>
            </w:r>
            <w:r>
              <w:rPr>
                <w:sz w:val="20"/>
                <w:szCs w:val="20"/>
              </w:rPr>
              <w:instrText>11</w:instrText>
            </w:r>
            <w:r>
              <w:instrText>)</w:instrText>
            </w:r>
            <w:r>
              <w:fldChar w:fldCharType="end"/>
            </w:r>
          </w:p>
        </w:tc>
        <w:tc>
          <w:tcPr>
            <w:tcW w:w="1512" w:type="dxa"/>
            <w:tcBorders>
              <w:top w:val="single" w:sz="6" w:space="0" w:color="auto"/>
              <w:left w:val="single" w:sz="6" w:space="0" w:color="auto"/>
              <w:bottom w:val="single" w:sz="6" w:space="0" w:color="auto"/>
              <w:right w:val="single" w:sz="6" w:space="0" w:color="auto"/>
            </w:tcBorders>
          </w:tcPr>
          <w:p w:rsidR="00000000" w:rsidRDefault="00B4505B">
            <w:pPr>
              <w:jc w:val="center"/>
            </w:pPr>
            <w:r>
              <w:fldChar w:fldCharType="begin"/>
            </w:r>
            <w:r>
              <w:instrText xml:space="preserve"> EQ </w:instrText>
            </w:r>
            <w:r>
              <w:rPr>
                <w:i/>
                <w:iCs/>
              </w:rPr>
              <w:instrText>t</w:instrText>
            </w:r>
            <w:r>
              <w:instrText>\s\up(</w:instrText>
            </w:r>
            <w:r>
              <w:rPr>
                <w:sz w:val="20"/>
                <w:szCs w:val="20"/>
              </w:rPr>
              <w:instrText>*,1</w:instrText>
            </w:r>
            <w:r>
              <w:instrText>)</w:instrText>
            </w:r>
            <w:r>
              <w:fldChar w:fldCharType="end"/>
            </w:r>
          </w:p>
        </w:tc>
        <w:tc>
          <w:tcPr>
            <w:tcW w:w="2319" w:type="dxa"/>
            <w:tcBorders>
              <w:top w:val="single" w:sz="6" w:space="0" w:color="auto"/>
              <w:left w:val="single" w:sz="6" w:space="0" w:color="auto"/>
              <w:bottom w:val="single" w:sz="6" w:space="0" w:color="auto"/>
              <w:right w:val="single" w:sz="6" w:space="0" w:color="auto"/>
            </w:tcBorders>
          </w:tcPr>
          <w:p w:rsidR="00000000" w:rsidRDefault="00B4505B">
            <w:pPr>
              <w:jc w:val="center"/>
            </w:pPr>
            <w:r>
              <w:fldChar w:fldCharType="begin"/>
            </w:r>
            <w:r>
              <w:instrText xml:space="preserve"> EQ </w:instrText>
            </w:r>
            <w:r>
              <w:rPr>
                <w:i/>
                <w:iCs/>
              </w:rPr>
              <w:instrText>t</w:instrText>
            </w:r>
            <w:r>
              <w:instrText>\s\up(</w:instrText>
            </w:r>
            <w:r>
              <w:rPr>
                <w:sz w:val="20"/>
                <w:szCs w:val="20"/>
              </w:rPr>
              <w:instrText>*,</w:instrText>
            </w:r>
            <w:r>
              <w:rPr>
                <w:i/>
                <w:iCs/>
                <w:sz w:val="20"/>
                <w:szCs w:val="20"/>
              </w:rPr>
              <w:instrText>w</w:instrText>
            </w:r>
            <w:r>
              <w:instrText>)\s\do6(</w:instrText>
            </w:r>
            <w:r>
              <w:rPr>
                <w:sz w:val="20"/>
                <w:szCs w:val="20"/>
              </w:rPr>
              <w:instrText>1</w:instrText>
            </w:r>
            <w:r>
              <w:instrText>)</w:instrText>
            </w:r>
            <w:r>
              <w:fldChar w:fldCharType="end"/>
            </w:r>
          </w:p>
        </w:tc>
      </w:tr>
      <w:tr w:rsidR="00000000">
        <w:tblPrEx>
          <w:tblCellMar>
            <w:top w:w="0" w:type="dxa"/>
            <w:left w:w="0" w:type="dxa"/>
            <w:bottom w:w="0" w:type="dxa"/>
            <w:right w:w="0" w:type="dxa"/>
          </w:tblCellMar>
        </w:tblPrEx>
        <w:tc>
          <w:tcPr>
            <w:tcW w:w="3126" w:type="dxa"/>
            <w:tcBorders>
              <w:top w:val="nil"/>
              <w:left w:val="single" w:sz="6" w:space="0" w:color="auto"/>
              <w:bottom w:val="single" w:sz="6" w:space="0" w:color="auto"/>
              <w:right w:val="single" w:sz="6" w:space="0" w:color="auto"/>
            </w:tcBorders>
          </w:tcPr>
          <w:p w:rsidR="00000000" w:rsidRDefault="00B4505B">
            <w:pPr>
              <w:jc w:val="center"/>
            </w:pPr>
            <w:r>
              <w:t xml:space="preserve"> 0.45</w:t>
            </w:r>
          </w:p>
        </w:tc>
        <w:tc>
          <w:tcPr>
            <w:tcW w:w="1714" w:type="dxa"/>
            <w:tcBorders>
              <w:top w:val="nil"/>
              <w:left w:val="single" w:sz="6" w:space="0" w:color="auto"/>
              <w:bottom w:val="single" w:sz="6" w:space="0" w:color="auto"/>
              <w:right w:val="single" w:sz="6" w:space="0" w:color="auto"/>
            </w:tcBorders>
          </w:tcPr>
          <w:p w:rsidR="00000000" w:rsidRDefault="00B4505B">
            <w:pPr>
              <w:jc w:val="center"/>
            </w:pPr>
            <w:r>
              <w:t>0.54</w:t>
            </w:r>
          </w:p>
        </w:tc>
        <w:tc>
          <w:tcPr>
            <w:tcW w:w="1512" w:type="dxa"/>
            <w:tcBorders>
              <w:top w:val="nil"/>
              <w:left w:val="single" w:sz="6" w:space="0" w:color="auto"/>
              <w:bottom w:val="single" w:sz="6" w:space="0" w:color="auto"/>
              <w:right w:val="single" w:sz="6" w:space="0" w:color="auto"/>
            </w:tcBorders>
          </w:tcPr>
          <w:p w:rsidR="00000000" w:rsidRDefault="00B4505B">
            <w:pPr>
              <w:jc w:val="center"/>
            </w:pPr>
            <w:r>
              <w:t>1.16</w:t>
            </w:r>
          </w:p>
        </w:tc>
        <w:tc>
          <w:tcPr>
            <w:tcW w:w="2319" w:type="dxa"/>
            <w:tcBorders>
              <w:top w:val="nil"/>
              <w:left w:val="single" w:sz="6" w:space="0" w:color="auto"/>
              <w:bottom w:val="single" w:sz="6" w:space="0" w:color="auto"/>
              <w:right w:val="single" w:sz="6" w:space="0" w:color="auto"/>
            </w:tcBorders>
          </w:tcPr>
          <w:p w:rsidR="00000000" w:rsidRDefault="00B4505B">
            <w:pPr>
              <w:jc w:val="center"/>
            </w:pPr>
            <w:r>
              <w:t>1.24</w:t>
            </w:r>
          </w:p>
        </w:tc>
      </w:tr>
    </w:tbl>
    <w:p w:rsidR="00000000" w:rsidRDefault="00B4505B">
      <w:pPr>
        <w:pStyle w:val="Table"/>
        <w:spacing w:before="240"/>
        <w:rPr>
          <w:sz w:val="24"/>
          <w:szCs w:val="24"/>
        </w:rPr>
      </w:pPr>
      <w:r>
        <w:rPr>
          <w:sz w:val="24"/>
          <w:szCs w:val="24"/>
        </w:rPr>
        <w:t xml:space="preserve"> </w:t>
      </w:r>
    </w:p>
    <w:p w:rsidR="00000000" w:rsidRDefault="00B4505B">
      <w:pPr>
        <w:pStyle w:val="Table"/>
        <w:spacing w:before="144"/>
        <w:rPr>
          <w:sz w:val="24"/>
          <w:szCs w:val="24"/>
        </w:rPr>
      </w:pPr>
      <w:r>
        <w:rPr>
          <w:sz w:val="24"/>
          <w:szCs w:val="24"/>
        </w:rPr>
        <w:t xml:space="preserve"> </w:t>
      </w:r>
    </w:p>
    <w:tbl>
      <w:tblPr>
        <w:tblW w:w="0" w:type="auto"/>
        <w:tblInd w:w="8" w:type="dxa"/>
        <w:tblLayout w:type="fixed"/>
        <w:tblCellMar>
          <w:left w:w="0" w:type="dxa"/>
          <w:right w:w="0" w:type="dxa"/>
        </w:tblCellMar>
        <w:tblLook w:val="0000"/>
      </w:tblPr>
      <w:tblGrid>
        <w:gridCol w:w="3126"/>
        <w:gridCol w:w="1714"/>
        <w:gridCol w:w="1512"/>
        <w:gridCol w:w="2319"/>
      </w:tblGrid>
      <w:tr w:rsidR="00000000">
        <w:tblPrEx>
          <w:tblCellMar>
            <w:top w:w="0" w:type="dxa"/>
            <w:left w:w="0" w:type="dxa"/>
            <w:bottom w:w="0" w:type="dxa"/>
            <w:right w:w="0" w:type="dxa"/>
          </w:tblCellMar>
        </w:tblPrEx>
        <w:tc>
          <w:tcPr>
            <w:tcW w:w="3126" w:type="dxa"/>
            <w:tcBorders>
              <w:top w:val="single" w:sz="6" w:space="0" w:color="auto"/>
              <w:left w:val="single" w:sz="6" w:space="0" w:color="auto"/>
              <w:bottom w:val="single" w:sz="6" w:space="0" w:color="auto"/>
              <w:right w:val="single" w:sz="6" w:space="0" w:color="auto"/>
            </w:tcBorders>
          </w:tcPr>
          <w:p w:rsidR="00000000" w:rsidRDefault="00B4505B">
            <w:pPr>
              <w:jc w:val="center"/>
            </w:pPr>
            <w:r>
              <w:t xml:space="preserve"> </w:t>
            </w:r>
            <w:r>
              <w:fldChar w:fldCharType="begin"/>
            </w:r>
            <w:r>
              <w:instrText xml:space="preserve"> EQ </w:instrText>
            </w:r>
            <w:r>
              <w:rPr>
                <w:i/>
                <w:iCs/>
              </w:rPr>
              <w:instrText>f</w:instrText>
            </w:r>
            <w:r>
              <w:instrText>\s\do6(</w:instrText>
            </w:r>
            <w:r>
              <w:rPr>
                <w:sz w:val="20"/>
                <w:szCs w:val="20"/>
              </w:rPr>
              <w:instrText>20</w:instrText>
            </w:r>
            <w:r>
              <w:instrText>)</w:instrText>
            </w:r>
            <w:r>
              <w:fldChar w:fldCharType="end"/>
            </w:r>
          </w:p>
        </w:tc>
        <w:tc>
          <w:tcPr>
            <w:tcW w:w="1714" w:type="dxa"/>
            <w:tcBorders>
              <w:top w:val="single" w:sz="6" w:space="0" w:color="auto"/>
              <w:left w:val="single" w:sz="6" w:space="0" w:color="auto"/>
              <w:bottom w:val="single" w:sz="6" w:space="0" w:color="auto"/>
              <w:right w:val="single" w:sz="6" w:space="0" w:color="auto"/>
            </w:tcBorders>
          </w:tcPr>
          <w:p w:rsidR="00000000" w:rsidRDefault="00B4505B">
            <w:pPr>
              <w:jc w:val="center"/>
            </w:pPr>
            <w:r>
              <w:fldChar w:fldCharType="begin"/>
            </w:r>
            <w:r>
              <w:instrText xml:space="preserve"> EQ </w:instrText>
            </w:r>
            <w:r>
              <w:rPr>
                <w:i/>
                <w:iCs/>
              </w:rPr>
              <w:instrText>f</w:instrText>
            </w:r>
            <w:r>
              <w:instrText>\s\do6(</w:instrText>
            </w:r>
            <w:r>
              <w:rPr>
                <w:sz w:val="20"/>
                <w:szCs w:val="20"/>
              </w:rPr>
              <w:instrText>21</w:instrText>
            </w:r>
            <w:r>
              <w:instrText>)</w:instrText>
            </w:r>
            <w:r>
              <w:fldChar w:fldCharType="end"/>
            </w:r>
          </w:p>
        </w:tc>
        <w:tc>
          <w:tcPr>
            <w:tcW w:w="1512" w:type="dxa"/>
            <w:tcBorders>
              <w:top w:val="single" w:sz="6" w:space="0" w:color="auto"/>
              <w:left w:val="single" w:sz="6" w:space="0" w:color="auto"/>
              <w:bottom w:val="single" w:sz="6" w:space="0" w:color="auto"/>
              <w:right w:val="single" w:sz="6" w:space="0" w:color="auto"/>
            </w:tcBorders>
          </w:tcPr>
          <w:p w:rsidR="00000000" w:rsidRDefault="00B4505B">
            <w:pPr>
              <w:jc w:val="center"/>
            </w:pPr>
            <w:r>
              <w:fldChar w:fldCharType="begin"/>
            </w:r>
            <w:r>
              <w:instrText xml:space="preserve"> EQ </w:instrText>
            </w:r>
            <w:r>
              <w:rPr>
                <w:i/>
                <w:iCs/>
              </w:rPr>
              <w:instrText>t</w:instrText>
            </w:r>
            <w:r>
              <w:instrText>\s\up(</w:instrText>
            </w:r>
            <w:r>
              <w:rPr>
                <w:sz w:val="20"/>
                <w:szCs w:val="20"/>
              </w:rPr>
              <w:instrText>*,2</w:instrText>
            </w:r>
            <w:r>
              <w:instrText>)</w:instrText>
            </w:r>
            <w:r>
              <w:fldChar w:fldCharType="end"/>
            </w:r>
          </w:p>
        </w:tc>
        <w:tc>
          <w:tcPr>
            <w:tcW w:w="2319" w:type="dxa"/>
            <w:tcBorders>
              <w:top w:val="single" w:sz="6" w:space="0" w:color="auto"/>
              <w:left w:val="single" w:sz="6" w:space="0" w:color="auto"/>
              <w:bottom w:val="single" w:sz="6" w:space="0" w:color="auto"/>
              <w:right w:val="single" w:sz="6" w:space="0" w:color="auto"/>
            </w:tcBorders>
          </w:tcPr>
          <w:p w:rsidR="00000000" w:rsidRDefault="00B4505B">
            <w:pPr>
              <w:jc w:val="center"/>
            </w:pPr>
            <w:r>
              <w:fldChar w:fldCharType="begin"/>
            </w:r>
            <w:r>
              <w:instrText xml:space="preserve"> EQ </w:instrText>
            </w:r>
            <w:r>
              <w:rPr>
                <w:i/>
                <w:iCs/>
              </w:rPr>
              <w:instrText>t</w:instrText>
            </w:r>
            <w:r>
              <w:instrText>\s\up(</w:instrText>
            </w:r>
            <w:r>
              <w:rPr>
                <w:sz w:val="20"/>
                <w:szCs w:val="20"/>
              </w:rPr>
              <w:instrText>*,</w:instrText>
            </w:r>
            <w:r>
              <w:rPr>
                <w:i/>
                <w:iCs/>
                <w:sz w:val="20"/>
                <w:szCs w:val="20"/>
              </w:rPr>
              <w:instrText>w</w:instrText>
            </w:r>
            <w:r>
              <w:instrText>)\s\do6(</w:instrText>
            </w:r>
            <w:r>
              <w:rPr>
                <w:sz w:val="20"/>
                <w:szCs w:val="20"/>
              </w:rPr>
              <w:instrText>2</w:instrText>
            </w:r>
            <w:r>
              <w:instrText>)</w:instrText>
            </w:r>
            <w:r>
              <w:fldChar w:fldCharType="end"/>
            </w:r>
          </w:p>
        </w:tc>
      </w:tr>
      <w:tr w:rsidR="00000000">
        <w:tblPrEx>
          <w:tblCellMar>
            <w:top w:w="0" w:type="dxa"/>
            <w:left w:w="0" w:type="dxa"/>
            <w:bottom w:w="0" w:type="dxa"/>
            <w:right w:w="0" w:type="dxa"/>
          </w:tblCellMar>
        </w:tblPrEx>
        <w:tc>
          <w:tcPr>
            <w:tcW w:w="3126" w:type="dxa"/>
            <w:tcBorders>
              <w:top w:val="nil"/>
              <w:left w:val="single" w:sz="6" w:space="0" w:color="auto"/>
              <w:bottom w:val="single" w:sz="6" w:space="0" w:color="auto"/>
              <w:right w:val="single" w:sz="6" w:space="0" w:color="auto"/>
            </w:tcBorders>
          </w:tcPr>
          <w:p w:rsidR="00000000" w:rsidRDefault="00B4505B">
            <w:pPr>
              <w:jc w:val="center"/>
            </w:pPr>
            <w:r>
              <w:t xml:space="preserve"> 0.35</w:t>
            </w:r>
          </w:p>
        </w:tc>
        <w:tc>
          <w:tcPr>
            <w:tcW w:w="1714" w:type="dxa"/>
            <w:tcBorders>
              <w:top w:val="nil"/>
              <w:left w:val="single" w:sz="6" w:space="0" w:color="auto"/>
              <w:bottom w:val="single" w:sz="6" w:space="0" w:color="auto"/>
              <w:right w:val="single" w:sz="6" w:space="0" w:color="auto"/>
            </w:tcBorders>
          </w:tcPr>
          <w:p w:rsidR="00000000" w:rsidRDefault="00B4505B">
            <w:pPr>
              <w:jc w:val="center"/>
            </w:pPr>
            <w:r>
              <w:t>0.15</w:t>
            </w:r>
          </w:p>
        </w:tc>
        <w:tc>
          <w:tcPr>
            <w:tcW w:w="1512" w:type="dxa"/>
            <w:tcBorders>
              <w:top w:val="nil"/>
              <w:left w:val="single" w:sz="6" w:space="0" w:color="auto"/>
              <w:bottom w:val="single" w:sz="6" w:space="0" w:color="auto"/>
              <w:right w:val="single" w:sz="6" w:space="0" w:color="auto"/>
            </w:tcBorders>
          </w:tcPr>
          <w:p w:rsidR="00000000" w:rsidRDefault="00B4505B">
            <w:pPr>
              <w:jc w:val="center"/>
            </w:pPr>
            <w:r>
              <w:t>1.74</w:t>
            </w:r>
          </w:p>
        </w:tc>
        <w:tc>
          <w:tcPr>
            <w:tcW w:w="2319" w:type="dxa"/>
            <w:tcBorders>
              <w:top w:val="nil"/>
              <w:left w:val="single" w:sz="6" w:space="0" w:color="auto"/>
              <w:bottom w:val="single" w:sz="6" w:space="0" w:color="auto"/>
              <w:right w:val="single" w:sz="6" w:space="0" w:color="auto"/>
            </w:tcBorders>
          </w:tcPr>
          <w:p w:rsidR="00000000" w:rsidRDefault="00B4505B">
            <w:pPr>
              <w:jc w:val="center"/>
            </w:pPr>
            <w:r>
              <w:t>2.07</w:t>
            </w:r>
          </w:p>
        </w:tc>
      </w:tr>
    </w:tbl>
    <w:p w:rsidR="00000000" w:rsidRDefault="00B4505B">
      <w:pPr>
        <w:pStyle w:val="Table"/>
        <w:spacing w:before="144"/>
        <w:rPr>
          <w:sz w:val="24"/>
          <w:szCs w:val="24"/>
        </w:rPr>
      </w:pPr>
      <w:r>
        <w:rPr>
          <w:sz w:val="24"/>
          <w:szCs w:val="24"/>
        </w:rPr>
        <w:t xml:space="preserve"> </w:t>
      </w:r>
    </w:p>
    <w:p w:rsidR="00000000" w:rsidRDefault="00B4505B">
      <w:pPr>
        <w:pStyle w:val="Caption"/>
      </w:pPr>
      <w:r>
        <w:t xml:space="preserve">Table </w:t>
      </w:r>
      <w:bookmarkStart w:id="42" w:name="BMtable_partition_coefs"/>
      <w:r>
        <w:t>2</w:t>
      </w:r>
      <w:bookmarkEnd w:id="42"/>
      <w:r>
        <w:t>: Curve fit coefficients for Eq. (</w:t>
      </w:r>
      <w:fldSimple w:instr="REF BMeq_partition \* MERGEFORMAT ">
        <w:r>
          <w:t>25</w:t>
        </w:r>
      </w:fldSimple>
      <w:r>
        <w:t>).</w:t>
      </w:r>
      <w:r>
        <w:fldChar w:fldCharType="begin"/>
      </w:r>
      <w:r>
        <w:instrText>TC "2 Curve fit coefficients for Eq. (</w:instrText>
      </w:r>
      <w:fldSimple w:instr="REF BMeq_partition \* MERGEFORMAT ">
        <w:r>
          <w:instrText>25</w:instrText>
        </w:r>
      </w:fldSimple>
      <w:r>
        <w:instrText>)." \f t</w:instrText>
      </w:r>
      <w:r>
        <w:fldChar w:fldCharType="end"/>
      </w:r>
    </w:p>
    <w:p w:rsidR="00000000" w:rsidRDefault="00B4505B">
      <w:pPr>
        <w:ind w:firstLine="360"/>
      </w:pPr>
    </w:p>
    <w:p w:rsidR="00000000" w:rsidRDefault="00B4505B">
      <w:pPr>
        <w:spacing w:before="240"/>
        <w:ind w:firstLine="360"/>
      </w:pPr>
      <w:r>
        <w:t xml:space="preserve">Comparison of the model prediction with the baseline landing data for the circulation decay parameters </w:t>
      </w:r>
      <w:r>
        <w:fldChar w:fldCharType="begin"/>
      </w:r>
      <w:r>
        <w:instrText xml:space="preserve"> EQ </w:instrText>
      </w:r>
      <w:r>
        <w:instrText>τ</w:instrText>
      </w:r>
      <w:r>
        <w:instrText>\s\up6(</w:instrText>
      </w:r>
      <w:r>
        <w:rPr>
          <w:sz w:val="20"/>
          <w:szCs w:val="20"/>
        </w:rPr>
        <w:instrText>*</w:instrText>
      </w:r>
      <w:r>
        <w:instrText>)=9.5</w:instrText>
      </w:r>
      <w:r>
        <w:fldChar w:fldCharType="end"/>
      </w:r>
      <w:r>
        <w:t xml:space="preserve">, </w:t>
      </w:r>
      <w:r>
        <w:fldChar w:fldCharType="begin"/>
      </w:r>
      <w:r>
        <w:instrText xml:space="preserve"> EQ </w:instrText>
      </w:r>
      <w:r>
        <w:rPr>
          <w:i/>
          <w:iCs/>
        </w:rPr>
        <w:instrText>t</w:instrText>
      </w:r>
      <w:r>
        <w:instrText>\s\up(</w:instrText>
      </w:r>
      <w:r>
        <w:rPr>
          <w:sz w:val="20"/>
          <w:szCs w:val="20"/>
        </w:rPr>
        <w:instrText>*,</w:instrText>
      </w:r>
      <w:r>
        <w:rPr>
          <w:i/>
          <w:iCs/>
          <w:sz w:val="20"/>
          <w:szCs w:val="20"/>
        </w:rPr>
        <w:instrText>s</w:instrText>
      </w:r>
      <w:r>
        <w:instrText>)=3</w:instrText>
      </w:r>
      <w:r>
        <w:fldChar w:fldCharType="end"/>
      </w:r>
      <w:r>
        <w:t xml:space="preserve"> is shown in Figure </w:t>
      </w:r>
      <w:fldSimple w:instr="REF BMfig_base_case \* MERGEFORMAT ">
        <w:r>
          <w:t>14</w:t>
        </w:r>
      </w:fldSimple>
      <w:r>
        <w:t>. The agreement is seen to be quite g</w:t>
      </w:r>
      <w:r>
        <w:t>ood for both the circulation decay and the vortex vertical trajectory. In order to obtain these results, it was necessary to make a slight adjustment to the parameters used to specify the halo vortex circulation partition fractions (Eq. (</w:t>
      </w:r>
      <w:fldSimple w:instr="REF BMeq_partition \* MERGEFORMAT ">
        <w:r>
          <w:t>25</w:t>
        </w:r>
      </w:fldSimple>
      <w:r>
        <w:t xml:space="preserve">)). In particular, the parameter </w:t>
      </w:r>
      <w:r>
        <w:fldChar w:fldCharType="begin"/>
      </w:r>
      <w:r>
        <w:instrText xml:space="preserve"> EQ </w:instrText>
      </w:r>
      <w:r>
        <w:rPr>
          <w:i/>
          <w:iCs/>
        </w:rPr>
        <w:instrText>f</w:instrText>
      </w:r>
      <w:r>
        <w:instrText>\s\do6(</w:instrText>
      </w:r>
      <w:r>
        <w:rPr>
          <w:sz w:val="20"/>
          <w:szCs w:val="20"/>
        </w:rPr>
        <w:instrText>11</w:instrText>
      </w:r>
      <w:r>
        <w:instrText>)</w:instrText>
      </w:r>
      <w:r>
        <w:fldChar w:fldCharType="end"/>
      </w:r>
      <w:r>
        <w:t xml:space="preserve"> that specify the fraction of halo circulation assigned to vortex 1 at </w:t>
      </w:r>
      <w:r>
        <w:fldChar w:fldCharType="begin"/>
      </w:r>
      <w:r>
        <w:instrText xml:space="preserve"> EQ </w:instrText>
      </w:r>
      <w:r>
        <w:rPr>
          <w:i/>
          <w:iCs/>
        </w:rPr>
        <w:instrText>t</w:instrText>
      </w:r>
      <w:r>
        <w:instrText>→∞</w:instrText>
      </w:r>
      <w:r>
        <w:fldChar w:fldCharType="end"/>
      </w:r>
      <w:r>
        <w:t xml:space="preserve"> needed to be adjusted slightly. The adjusted values (together with those that were not changed) are list</w:t>
      </w:r>
      <w:r>
        <w:t xml:space="preserve">ed in Table </w:t>
      </w:r>
      <w:fldSimple w:instr="REF BMtable_partition_coefs \* MERGEFORMAT ">
        <w:r>
          <w:t>5.5</w:t>
        </w:r>
      </w:fldSimple>
      <w:r>
        <w:t>. These values have worked well for all other landing data comparisons (discussed below) and thus appear to be universal values for actual aircraft landing data.</w:t>
      </w:r>
    </w:p>
    <w:p w:rsidR="00000000" w:rsidRDefault="00B4505B">
      <w:pPr>
        <w:ind w:firstLine="360"/>
      </w:pPr>
      <w:r>
        <w:t>Although the reason behind the need to change the one halo circulation partition parameters is not entirely clear, it is likely due to inaccuracies in the assumed damping function applied to the eddy viscosity distribution and/or the effects of the somewha</w:t>
      </w:r>
      <w:r>
        <w:t>t artificial boundary conditions used in the numerical simulation. The fact that the adjusted halo circulation partition fraction values appear to be universal for at least the Frankfurt 2004 landing data helps to substantiate the claim that small errors i</w:t>
      </w:r>
      <w:r>
        <w:t>n the numerical simulation could be corrected for in the fast wake model via adjustments of a few key parameter values.</w:t>
      </w:r>
    </w:p>
    <w:p w:rsidR="00000000" w:rsidRDefault="00B4505B">
      <w:pPr>
        <w:pStyle w:val="Heading3"/>
        <w:widowControl/>
        <w:spacing w:before="120"/>
      </w:pPr>
      <w:r>
        <w:t>5.6  Tuning for the Effects of Ambient Turbulence</w:t>
      </w:r>
    </w:p>
    <w:p w:rsidR="00000000" w:rsidRDefault="00B4505B">
      <w:pPr>
        <w:pStyle w:val="Figure"/>
        <w:spacing w:before="300"/>
        <w:rPr>
          <w:sz w:val="24"/>
          <w:szCs w:val="24"/>
        </w:rPr>
      </w:pPr>
    </w:p>
    <w:p w:rsidR="00000000" w:rsidRDefault="00B4505B">
      <w:pPr>
        <w:pStyle w:val="centerpar"/>
        <w:ind w:firstLine="360"/>
      </w:pPr>
      <w:r>
        <w:lastRenderedPageBreak/>
        <w:drawing>
          <wp:inline distT="0" distB="0" distL="0" distR="0">
            <wp:extent cx="4114800" cy="28829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4114800" cy="2882900"/>
                    </a:xfrm>
                    <a:prstGeom prst="rect">
                      <a:avLst/>
                    </a:prstGeom>
                    <a:noFill/>
                    <a:ln w="9525">
                      <a:noFill/>
                      <a:miter lim="800000"/>
                      <a:headEnd/>
                      <a:tailEnd/>
                    </a:ln>
                  </pic:spPr>
                </pic:pic>
              </a:graphicData>
            </a:graphic>
          </wp:inline>
        </w:drawing>
      </w:r>
      <w:r>
        <w:t xml:space="preserve"> </w:t>
      </w:r>
    </w:p>
    <w:p w:rsidR="00000000" w:rsidRDefault="00B4505B">
      <w:pPr>
        <w:pStyle w:val="centerpar"/>
        <w:ind w:firstLine="360"/>
      </w:pPr>
      <w:r>
        <w:drawing>
          <wp:inline distT="0" distB="0" distL="0" distR="0">
            <wp:extent cx="4114800" cy="28829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4114800" cy="2882900"/>
                    </a:xfrm>
                    <a:prstGeom prst="rect">
                      <a:avLst/>
                    </a:prstGeom>
                    <a:noFill/>
                    <a:ln w="9525">
                      <a:noFill/>
                      <a:miter lim="800000"/>
                      <a:headEnd/>
                      <a:tailEnd/>
                    </a:ln>
                  </pic:spPr>
                </pic:pic>
              </a:graphicData>
            </a:graphic>
          </wp:inline>
        </w:drawing>
      </w:r>
    </w:p>
    <w:p w:rsidR="00000000" w:rsidRDefault="00B4505B">
      <w:pPr>
        <w:pStyle w:val="Caption"/>
      </w:pPr>
      <w:r>
        <w:t xml:space="preserve">Figure </w:t>
      </w:r>
      <w:bookmarkStart w:id="43" w:name="BMfig_med_turb_case"/>
      <w:r>
        <w:t>15</w:t>
      </w:r>
      <w:bookmarkEnd w:id="43"/>
      <w:r>
        <w:t>: Comparison of the model prediction against the moderate turbulence landing data.</w:t>
      </w:r>
      <w:r>
        <w:fldChar w:fldCharType="begin"/>
      </w:r>
      <w:r>
        <w:instrText>TC "15 Comparison of the model prediction against the moderate turbulence landing data." \f f</w:instrText>
      </w:r>
      <w:r>
        <w:fldChar w:fldCharType="end"/>
      </w:r>
    </w:p>
    <w:p w:rsidR="00000000" w:rsidRDefault="00B4505B">
      <w:pPr>
        <w:pStyle w:val="Figure"/>
        <w:spacing w:before="480"/>
        <w:ind w:firstLine="360"/>
        <w:rPr>
          <w:sz w:val="24"/>
          <w:szCs w:val="24"/>
        </w:rPr>
      </w:pPr>
    </w:p>
    <w:p w:rsidR="00000000" w:rsidRDefault="00B4505B">
      <w:pPr>
        <w:pStyle w:val="centerpar"/>
        <w:ind w:firstLine="360"/>
      </w:pPr>
      <w:r>
        <w:lastRenderedPageBreak/>
        <w:drawing>
          <wp:inline distT="0" distB="0" distL="0" distR="0">
            <wp:extent cx="4114800" cy="28829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4114800" cy="2882900"/>
                    </a:xfrm>
                    <a:prstGeom prst="rect">
                      <a:avLst/>
                    </a:prstGeom>
                    <a:noFill/>
                    <a:ln w="9525">
                      <a:noFill/>
                      <a:miter lim="800000"/>
                      <a:headEnd/>
                      <a:tailEnd/>
                    </a:ln>
                  </pic:spPr>
                </pic:pic>
              </a:graphicData>
            </a:graphic>
          </wp:inline>
        </w:drawing>
      </w:r>
      <w:r>
        <w:t xml:space="preserve"> </w:t>
      </w:r>
    </w:p>
    <w:p w:rsidR="00000000" w:rsidRDefault="00B4505B">
      <w:pPr>
        <w:pStyle w:val="centerpar"/>
        <w:ind w:firstLine="360"/>
      </w:pPr>
      <w:r>
        <w:drawing>
          <wp:inline distT="0" distB="0" distL="0" distR="0">
            <wp:extent cx="4114800" cy="28829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4114800" cy="2882900"/>
                    </a:xfrm>
                    <a:prstGeom prst="rect">
                      <a:avLst/>
                    </a:prstGeom>
                    <a:noFill/>
                    <a:ln w="9525">
                      <a:noFill/>
                      <a:miter lim="800000"/>
                      <a:headEnd/>
                      <a:tailEnd/>
                    </a:ln>
                  </pic:spPr>
                </pic:pic>
              </a:graphicData>
            </a:graphic>
          </wp:inline>
        </w:drawing>
      </w:r>
    </w:p>
    <w:p w:rsidR="00000000" w:rsidRDefault="00B4505B">
      <w:pPr>
        <w:pStyle w:val="Caption"/>
      </w:pPr>
      <w:r>
        <w:t xml:space="preserve">Figure </w:t>
      </w:r>
      <w:bookmarkStart w:id="44" w:name="BMfig_high_turb_case"/>
      <w:r>
        <w:t>16</w:t>
      </w:r>
      <w:bookmarkEnd w:id="44"/>
      <w:r>
        <w:t>: Comparison of the model prediction against the high turbulence landing data.</w:t>
      </w:r>
      <w:r>
        <w:fldChar w:fldCharType="begin"/>
      </w:r>
      <w:r>
        <w:instrText>TC "16 Comparison of the model prediction against the high turbulence landing data." \f f</w:instrText>
      </w:r>
      <w:r>
        <w:fldChar w:fldCharType="end"/>
      </w:r>
    </w:p>
    <w:p w:rsidR="00000000" w:rsidRDefault="00B4505B">
      <w:pPr>
        <w:spacing w:before="240"/>
        <w:ind w:firstLine="360"/>
      </w:pPr>
      <w:r>
        <w:t>The main effect of increasing ambient turbulence is to increase the rate of circulation decay. Using an iterative tuning exercise with the landing data grouped for both moderate and strong ambient turbulence, we found that the effects of turbulence could b</w:t>
      </w:r>
      <w:r>
        <w:t xml:space="preserve">e accounted for rather completely via the following simple adjustment to the primary circulation decay parameter </w:t>
      </w:r>
      <w:r>
        <w:t>τ</w:t>
      </w:r>
      <w:r>
        <w:t xml:space="preserve"> </w:t>
      </w:r>
    </w:p>
    <w:p w:rsidR="00000000" w:rsidRDefault="00B4505B">
      <w:pPr>
        <w:pStyle w:val="equationNum"/>
        <w:tabs>
          <w:tab w:val="center" w:pos="4336"/>
          <w:tab w:val="right" w:pos="8672"/>
        </w:tabs>
      </w:pPr>
      <w:r>
        <w:tab/>
      </w:r>
      <w:r>
        <w:fldChar w:fldCharType="begin"/>
      </w:r>
      <w:r>
        <w:instrText xml:space="preserve"> EQ </w:instrText>
      </w:r>
      <w:r>
        <w:instrText>τ</w:instrText>
      </w:r>
      <w:r>
        <w:instrText>\s\up6(</w:instrText>
      </w:r>
      <w:r>
        <w:rPr>
          <w:sz w:val="20"/>
          <w:szCs w:val="20"/>
        </w:rPr>
        <w:instrText>*</w:instrText>
      </w:r>
      <w:r>
        <w:instrText>)=max[(10</w:instrText>
      </w:r>
      <w:r>
        <w:instrText>−</w:instrText>
      </w:r>
      <w:r>
        <w:instrText>50</w:instrText>
      </w:r>
      <w:r>
        <w:instrText>ε</w:instrText>
      </w:r>
      <w:r>
        <w:instrText>\s\up6(</w:instrText>
      </w:r>
      <w:r>
        <w:rPr>
          <w:sz w:val="20"/>
          <w:szCs w:val="20"/>
        </w:rPr>
        <w:instrText>*</w:instrText>
      </w:r>
      <w:r>
        <w:instrText>))\,7.0]</w:instrText>
      </w:r>
      <w:r>
        <w:fldChar w:fldCharType="end"/>
      </w:r>
      <w:r>
        <w:tab/>
        <w:t>(</w:t>
      </w:r>
      <w:bookmarkStart w:id="45" w:name="BMeq_tau_turb"/>
      <w:r>
        <w:t>28</w:t>
      </w:r>
      <w:bookmarkEnd w:id="45"/>
      <w:r>
        <w:t>)</w:t>
      </w:r>
    </w:p>
    <w:p w:rsidR="00000000" w:rsidRDefault="00B4505B">
      <w:r>
        <w:t xml:space="preserve">where </w:t>
      </w:r>
      <w:r>
        <w:fldChar w:fldCharType="begin"/>
      </w:r>
      <w:r>
        <w:instrText xml:space="preserve"> EQ </w:instrText>
      </w:r>
      <w:r>
        <w:instrText>ε</w:instrText>
      </w:r>
      <w:r>
        <w:instrText>\s\up6(</w:instrText>
      </w:r>
      <w:r>
        <w:rPr>
          <w:sz w:val="20"/>
          <w:szCs w:val="20"/>
        </w:rPr>
        <w:instrText>*</w:instrText>
      </w:r>
      <w:r>
        <w:instrText>)=(</w:instrText>
      </w:r>
      <w:r>
        <w:instrText>ε</w:instrText>
      </w:r>
      <w:r>
        <w:rPr>
          <w:i/>
          <w:iCs/>
        </w:rPr>
        <w:instrText>b</w:instrText>
      </w:r>
      <w:r>
        <w:instrText>\s\do6(</w:instrText>
      </w:r>
      <w:r>
        <w:rPr>
          <w:sz w:val="20"/>
          <w:szCs w:val="20"/>
        </w:rPr>
        <w:instrText>0</w:instrText>
      </w:r>
      <w:r>
        <w:instrText>))\s\up6(</w:instrText>
      </w:r>
      <w:r>
        <w:rPr>
          <w:sz w:val="20"/>
          <w:szCs w:val="20"/>
        </w:rPr>
        <w:instrText>1/3</w:instrText>
      </w:r>
      <w:r>
        <w:instrText>)/</w:instrText>
      </w:r>
      <w:r>
        <w:rPr>
          <w:i/>
          <w:iCs/>
        </w:rPr>
        <w:instrText>w</w:instrText>
      </w:r>
      <w:r>
        <w:instrText>\s\do6(</w:instrText>
      </w:r>
      <w:r>
        <w:rPr>
          <w:sz w:val="20"/>
          <w:szCs w:val="20"/>
        </w:rPr>
        <w:instrText>0</w:instrText>
      </w:r>
      <w:r>
        <w:instrText>)</w:instrText>
      </w:r>
      <w:r>
        <w:fldChar w:fldCharType="end"/>
      </w:r>
      <w:r>
        <w:t xml:space="preserve"> is t</w:t>
      </w:r>
      <w:r>
        <w:t xml:space="preserve">he non-dimensional ambient eddy dissipation rate. Results using this tuning are shown in Figures </w:t>
      </w:r>
      <w:fldSimple w:instr="REF BMfig_med_turb_case \* MERGEFORMAT ">
        <w:r>
          <w:t>15</w:t>
        </w:r>
      </w:fldSimple>
      <w:r>
        <w:t xml:space="preserve"> and </w:t>
      </w:r>
      <w:fldSimple w:instr="REF BMfig_high_turb_case \* MERGEFORMAT ">
        <w:r>
          <w:t>16</w:t>
        </w:r>
      </w:fldSimple>
      <w:r>
        <w:t xml:space="preserve">. While there is less data as opposed to the baseline cases, and </w:t>
      </w:r>
      <w:r>
        <w:t>there is more scatter, the model prediction is seen to be quite good.</w:t>
      </w:r>
    </w:p>
    <w:p w:rsidR="00000000" w:rsidRDefault="00B4505B">
      <w:pPr>
        <w:pStyle w:val="Heading3"/>
        <w:widowControl/>
        <w:spacing w:before="120"/>
      </w:pPr>
      <w:r>
        <w:lastRenderedPageBreak/>
        <w:t>5.7  Incorporating the Effect of Stable Stratification</w:t>
      </w:r>
    </w:p>
    <w:p w:rsidR="00000000" w:rsidRDefault="00B4505B">
      <w:pPr>
        <w:pStyle w:val="Figure"/>
        <w:spacing w:before="300"/>
        <w:rPr>
          <w:sz w:val="24"/>
          <w:szCs w:val="24"/>
        </w:rPr>
      </w:pPr>
    </w:p>
    <w:p w:rsidR="00000000" w:rsidRDefault="00B4505B">
      <w:pPr>
        <w:pStyle w:val="centerpar"/>
        <w:ind w:firstLine="360"/>
      </w:pPr>
      <w:r>
        <w:lastRenderedPageBreak/>
        <w:drawing>
          <wp:inline distT="0" distB="0" distL="0" distR="0">
            <wp:extent cx="2794000" cy="4203700"/>
            <wp:effectExtent l="1905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2794000" cy="4203700"/>
                    </a:xfrm>
                    <a:prstGeom prst="rect">
                      <a:avLst/>
                    </a:prstGeom>
                    <a:noFill/>
                    <a:ln w="9525">
                      <a:noFill/>
                      <a:miter lim="800000"/>
                      <a:headEnd/>
                      <a:tailEnd/>
                    </a:ln>
                  </pic:spPr>
                </pic:pic>
              </a:graphicData>
            </a:graphic>
          </wp:inline>
        </w:drawing>
      </w:r>
      <w:r>
        <w:t xml:space="preserve"> </w:t>
      </w:r>
      <w:r>
        <w:drawing>
          <wp:inline distT="0" distB="0" distL="0" distR="0">
            <wp:extent cx="2794000" cy="4203700"/>
            <wp:effectExtent l="1905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2794000" cy="4203700"/>
                    </a:xfrm>
                    <a:prstGeom prst="rect">
                      <a:avLst/>
                    </a:prstGeom>
                    <a:noFill/>
                    <a:ln w="9525">
                      <a:noFill/>
                      <a:miter lim="800000"/>
                      <a:headEnd/>
                      <a:tailEnd/>
                    </a:ln>
                  </pic:spPr>
                </pic:pic>
              </a:graphicData>
            </a:graphic>
          </wp:inline>
        </w:drawing>
      </w:r>
      <w:r>
        <w:t xml:space="preserve"> </w:t>
      </w:r>
    </w:p>
    <w:p w:rsidR="00000000" w:rsidRDefault="00B4505B">
      <w:pPr>
        <w:pStyle w:val="centerpar"/>
        <w:ind w:firstLine="360"/>
      </w:pPr>
      <w:r>
        <w:lastRenderedPageBreak/>
        <w:drawing>
          <wp:inline distT="0" distB="0" distL="0" distR="0">
            <wp:extent cx="2794000" cy="4203700"/>
            <wp:effectExtent l="1905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2794000" cy="4203700"/>
                    </a:xfrm>
                    <a:prstGeom prst="rect">
                      <a:avLst/>
                    </a:prstGeom>
                    <a:noFill/>
                    <a:ln w="9525">
                      <a:noFill/>
                      <a:miter lim="800000"/>
                      <a:headEnd/>
                      <a:tailEnd/>
                    </a:ln>
                  </pic:spPr>
                </pic:pic>
              </a:graphicData>
            </a:graphic>
          </wp:inline>
        </w:drawing>
      </w:r>
      <w:r>
        <w:t xml:space="preserve"> </w:t>
      </w:r>
      <w:r>
        <w:drawing>
          <wp:inline distT="0" distB="0" distL="0" distR="0">
            <wp:extent cx="2794000" cy="4203700"/>
            <wp:effectExtent l="1905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2794000" cy="4203700"/>
                    </a:xfrm>
                    <a:prstGeom prst="rect">
                      <a:avLst/>
                    </a:prstGeom>
                    <a:noFill/>
                    <a:ln w="9525">
                      <a:noFill/>
                      <a:miter lim="800000"/>
                      <a:headEnd/>
                      <a:tailEnd/>
                    </a:ln>
                  </pic:spPr>
                </pic:pic>
              </a:graphicData>
            </a:graphic>
          </wp:inline>
        </w:drawing>
      </w:r>
    </w:p>
    <w:p w:rsidR="00000000" w:rsidRDefault="00B4505B">
      <w:pPr>
        <w:pStyle w:val="Caption"/>
      </w:pPr>
      <w:r>
        <w:lastRenderedPageBreak/>
        <w:t xml:space="preserve">Figure </w:t>
      </w:r>
      <w:bookmarkStart w:id="46" w:name="BMfig_theta_sequence1"/>
      <w:r>
        <w:t>17</w:t>
      </w:r>
      <w:bookmarkEnd w:id="46"/>
      <w:r>
        <w:t>: Potential temperature contours from the stably stratified simulation. From top left to bottom right the images are taken at 20, 40, 60, and 80 seconds.</w:t>
      </w:r>
      <w:r>
        <w:fldChar w:fldCharType="begin"/>
      </w:r>
      <w:r>
        <w:instrText>TC "17 Potential temperature contour</w:instrText>
      </w:r>
      <w:r>
        <w:instrText>s from the stably stratified simulation. From top left to bottom right the images are taken at 20, 40, 60, and 80 seconds." \f f</w:instrText>
      </w:r>
      <w:r>
        <w:fldChar w:fldCharType="end"/>
      </w:r>
    </w:p>
    <w:p w:rsidR="00000000" w:rsidRDefault="00B4505B">
      <w:pPr>
        <w:spacing w:before="240"/>
        <w:ind w:firstLine="360"/>
      </w:pPr>
      <w:r>
        <w:t>Up to this point we have not explicitly considered the effects of stable stratification. We return now to the second numerica</w:t>
      </w:r>
      <w:r>
        <w:t>l simulation that was performed for a stable atmosphere with a buoyancy period of 5.9 minutes. Stable stratification induces two important effects. The first of these is a progressively larger difference between the potential temperature inside the wake ov</w:t>
      </w:r>
      <w:r>
        <w:t>al and the local ambient value outside. And as a consequence, the second important effect, which is the baroclinic generation of counter-sign vorticity due to the lateral gradient in potential temperature. The first of these two effects is illustrated in F</w:t>
      </w:r>
      <w:r>
        <w:t xml:space="preserve">igure </w:t>
      </w:r>
      <w:fldSimple w:instr="REF BMfig_theta_sequence1 \* MERGEFORMAT ">
        <w:r>
          <w:t>17</w:t>
        </w:r>
      </w:fldSimple>
      <w:r>
        <w:t>, which shows the potential temperature perturbation evolution. To a certain extent, the fluid initially contained in the wake oval is trapped there as the vortices descend. This would be strictly true in</w:t>
      </w:r>
      <w:r>
        <w:t xml:space="preserve"> an inviscid flow but in reality is only approximately satisfied due to turbulent entrainment and detrainment and due to turbulent conversion of kinetic to thermal energy (dissipation). In spite of this latter effect, Figure </w:t>
      </w:r>
      <w:fldSimple w:instr="REF BMfig_theta_sequence1 \* MERGEFORMAT ">
        <w:r>
          <w:t>17</w:t>
        </w:r>
      </w:fldSimple>
      <w:r>
        <w:t xml:space="preserve"> shows that the potential temperature perturbation grows in time and is mainly contained to the wake oval. As time progresses, a trailing potential temperature wake also develops above the vortex pair, and this is a direct result of turbulen</w:t>
      </w:r>
      <w:r>
        <w:t>t detrainment (modeled by turbulent diffusivity, derived from the eddy viscosity with Pr=1). The darker red dots centered at the positions of the primary vortices are a potential temperature sources due to turbulent viscous dissipation.</w:t>
      </w:r>
    </w:p>
    <w:p w:rsidR="00000000" w:rsidRDefault="00B4505B">
      <w:pPr>
        <w:pStyle w:val="Figure"/>
        <w:spacing w:before="240"/>
        <w:ind w:firstLine="360"/>
        <w:rPr>
          <w:sz w:val="24"/>
          <w:szCs w:val="24"/>
        </w:rPr>
      </w:pPr>
    </w:p>
    <w:p w:rsidR="00000000" w:rsidRDefault="00B4505B">
      <w:pPr>
        <w:pStyle w:val="centerpar"/>
        <w:ind w:firstLine="360"/>
      </w:pPr>
      <w:r>
        <w:drawing>
          <wp:inline distT="0" distB="0" distL="0" distR="0">
            <wp:extent cx="4114800" cy="28829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srcRect/>
                    <a:stretch>
                      <a:fillRect/>
                    </a:stretch>
                  </pic:blipFill>
                  <pic:spPr bwMode="auto">
                    <a:xfrm>
                      <a:off x="0" y="0"/>
                      <a:ext cx="4114800" cy="2882900"/>
                    </a:xfrm>
                    <a:prstGeom prst="rect">
                      <a:avLst/>
                    </a:prstGeom>
                    <a:noFill/>
                    <a:ln w="9525">
                      <a:noFill/>
                      <a:miter lim="800000"/>
                      <a:headEnd/>
                      <a:tailEnd/>
                    </a:ln>
                  </pic:spPr>
                </pic:pic>
              </a:graphicData>
            </a:graphic>
          </wp:inline>
        </w:drawing>
      </w:r>
      <w:r>
        <w:t xml:space="preserve"> </w:t>
      </w:r>
    </w:p>
    <w:p w:rsidR="00000000" w:rsidRDefault="00B4505B">
      <w:pPr>
        <w:pStyle w:val="Caption"/>
      </w:pPr>
      <w:r>
        <w:t xml:space="preserve">Figure </w:t>
      </w:r>
      <w:bookmarkStart w:id="47" w:name="BMfig_theta_hist"/>
      <w:r>
        <w:t>18</w:t>
      </w:r>
      <w:bookmarkEnd w:id="47"/>
      <w:r>
        <w:t>: Average potential temperature within the wake oval compared to the local ambient as a function of the vortex pair descent depth.</w:t>
      </w:r>
      <w:r>
        <w:fldChar w:fldCharType="begin"/>
      </w:r>
      <w:r>
        <w:instrText>TC "18 Average potential temperature within the wake oval compared</w:instrText>
      </w:r>
      <w:r>
        <w:instrText xml:space="preserve"> to the local ambient as a function of the vortex pair descent depth." \f f</w:instrText>
      </w:r>
      <w:r>
        <w:fldChar w:fldCharType="end"/>
      </w:r>
    </w:p>
    <w:p w:rsidR="00000000" w:rsidRDefault="00B4505B">
      <w:pPr>
        <w:spacing w:before="240"/>
        <w:ind w:firstLine="360"/>
      </w:pPr>
      <w:r>
        <w:t xml:space="preserve">Figure </w:t>
      </w:r>
      <w:fldSimple w:instr="REF BMfig_theta_hist \* MERGEFORMAT ">
        <w:r>
          <w:t>18</w:t>
        </w:r>
      </w:fldSimple>
      <w:r>
        <w:t xml:space="preserve"> shows the average potential temperature within the wake oval compared with the local ambient value during the vortex pair descent. This figure indicates that the wake potential temperature is approximately fixed at its initial value. The slight loss in po</w:t>
      </w:r>
      <w:r>
        <w:t xml:space="preserve">tential temperature is due to turbulent detrainment, which produces a net drain even when the input due to turbulent dissipation is added. Since the potential temperature </w:t>
      </w:r>
      <w:r>
        <w:lastRenderedPageBreak/>
        <w:t>within the wake varies so little on the descent we shall approximate it as being fixe</w:t>
      </w:r>
      <w:r>
        <w:t>d at the initial value in what follows.</w:t>
      </w:r>
    </w:p>
    <w:p w:rsidR="00000000" w:rsidRDefault="00B4505B">
      <w:pPr>
        <w:ind w:firstLine="360"/>
      </w:pPr>
      <w:r>
        <w:t>As stated above, the difference in potential temperature between the wake oval and the outside serves to generate vorticity. In order to see this, consider the vorticity equation under the Boussinesq approximation, w</w:t>
      </w:r>
      <w:r>
        <w:t xml:space="preserve">hich contains a baroclinic source term of the form </w:t>
      </w:r>
    </w:p>
    <w:p w:rsidR="00000000" w:rsidRDefault="00B4505B">
      <w:pPr>
        <w:pStyle w:val="equationNum"/>
        <w:tabs>
          <w:tab w:val="center" w:pos="4336"/>
          <w:tab w:val="right" w:pos="8672"/>
        </w:tabs>
      </w:pPr>
      <w:r>
        <w:tab/>
      </w:r>
      <w:r>
        <w:fldChar w:fldCharType="begin"/>
      </w:r>
      <w:r>
        <w:instrText xml:space="preserve"> EQ  \F(</w:instrText>
      </w:r>
      <w:r>
        <w:instrText>∂ω</w:instrText>
      </w:r>
      <w:r>
        <w:instrText>,</w:instrText>
      </w:r>
      <w:r>
        <w:instrText>∂</w:instrText>
      </w:r>
      <w:r>
        <w:rPr>
          <w:i/>
          <w:iCs/>
        </w:rPr>
        <w:instrText>t</w:instrText>
      </w:r>
      <w:r>
        <w:instrText>)</w:instrText>
      </w:r>
      <w:r>
        <w:rPr>
          <w:rFonts w:ascii="Cambria Math" w:hAnsi="Cambria Math" w:cs="Cambria Math"/>
        </w:rPr>
        <w:instrText>∼</w:instrText>
      </w:r>
      <w:r>
        <w:instrText xml:space="preserve"> \F(</w:instrText>
      </w:r>
      <w:r>
        <w:rPr>
          <w:i/>
          <w:iCs/>
        </w:rPr>
        <w:instrText>g</w:instrText>
      </w:r>
      <w:r>
        <w:instrText>,</w:instrText>
      </w:r>
      <w:r>
        <w:instrText>Θ</w:instrText>
      </w:r>
      <w:r>
        <w:instrText>\s\do6(</w:instrText>
      </w:r>
      <w:r>
        <w:rPr>
          <w:sz w:val="20"/>
          <w:szCs w:val="20"/>
        </w:rPr>
        <w:instrText>0</w:instrText>
      </w:r>
      <w:r>
        <w:instrText>)) \F(</w:instrText>
      </w:r>
      <w:r>
        <w:instrText>∂Θ</w:instrText>
      </w:r>
      <w:r>
        <w:instrText>\s\up6(</w:instrText>
      </w:r>
      <w:r>
        <w:rPr>
          <w:sz w:val="20"/>
          <w:szCs w:val="20"/>
        </w:rPr>
        <w:instrText>'</w:instrText>
      </w:r>
      <w:r>
        <w:instrText>),</w:instrText>
      </w:r>
      <w:r>
        <w:instrText>∂</w:instrText>
      </w:r>
      <w:r>
        <w:rPr>
          <w:i/>
          <w:iCs/>
        </w:rPr>
        <w:instrText>y</w:instrText>
      </w:r>
      <w:r>
        <w:instrText>)</w:instrText>
      </w:r>
      <w:r>
        <w:fldChar w:fldCharType="end"/>
      </w:r>
      <w:r>
        <w:tab/>
        <w:t>(</w:t>
      </w:r>
      <w:bookmarkStart w:id="48" w:name="BMeq_baro"/>
      <w:r>
        <w:t>29</w:t>
      </w:r>
      <w:bookmarkEnd w:id="48"/>
      <w:r>
        <w:t>)</w:t>
      </w:r>
    </w:p>
    <w:p w:rsidR="00000000" w:rsidRDefault="00B4505B">
      <w:r>
        <w:t xml:space="preserve">where </w:t>
      </w:r>
      <w:r>
        <w:fldChar w:fldCharType="begin"/>
      </w:r>
      <w:r>
        <w:instrText xml:space="preserve"> EQ </w:instrText>
      </w:r>
      <w:r>
        <w:instrText>Θ</w:instrText>
      </w:r>
      <w:r>
        <w:instrText>\s\up6(</w:instrText>
      </w:r>
      <w:r>
        <w:rPr>
          <w:sz w:val="20"/>
          <w:szCs w:val="20"/>
        </w:rPr>
        <w:instrText>'</w:instrText>
      </w:r>
      <w:r>
        <w:instrText>)</w:instrText>
      </w:r>
      <w:r>
        <w:fldChar w:fldCharType="end"/>
      </w:r>
      <w:r>
        <w:t xml:space="preserve"> is the potential temperature perturbation (relative to the ambient background) and </w:t>
      </w:r>
      <w:r>
        <w:fldChar w:fldCharType="begin"/>
      </w:r>
      <w:r>
        <w:instrText xml:space="preserve"> EQ </w:instrText>
      </w:r>
      <w:r>
        <w:instrText>Θ</w:instrText>
      </w:r>
      <w:r>
        <w:instrText>\s\do6(</w:instrText>
      </w:r>
      <w:r>
        <w:rPr>
          <w:sz w:val="20"/>
          <w:szCs w:val="20"/>
        </w:rPr>
        <w:instrText>0</w:instrText>
      </w:r>
      <w:r>
        <w:instrText>)</w:instrText>
      </w:r>
      <w:r>
        <w:fldChar w:fldCharType="end"/>
      </w:r>
      <w:r>
        <w:t xml:space="preserve"> is </w:t>
      </w:r>
      <w:r>
        <w:t xml:space="preserve">a reference value, which we shall take to be the ambient potential temperature at the initial wake altitude. This equation clearly shows that lateral variations in potential temperature act as vorticity sources. With reference to Figure </w:t>
      </w:r>
      <w:fldSimple w:instr="REF BMfig_theta_sequence1 \* MERGEFORMAT ">
        <w:r>
          <w:t>17</w:t>
        </w:r>
      </w:fldSimple>
      <w:r>
        <w:t xml:space="preserve"> we see that the regions near the edges of the wake oval should act as efficient vorticity source regions and that the vorticity produced will be counter sign with </w:t>
      </w:r>
      <w:r>
        <w:t xml:space="preserve">respect to the primary vortices. These conjectures are indeed born out in Figure </w:t>
      </w:r>
      <w:fldSimple w:instr="REF BMfig_strat_vort1 \* MERGEFORMAT ">
        <w:r>
          <w:t>19</w:t>
        </w:r>
      </w:fldSimple>
      <w:r>
        <w:t xml:space="preserve"> which shows the vorticity field evolution from the stratified simulation. Notice the counter-sign vorticity that appears between the</w:t>
      </w:r>
      <w:r>
        <w:t xml:space="preserve"> primary vortex and the deposition ring for the diffused primary vorticity. This effect is subtle at first but becomes more pronounced as time progresses.</w:t>
      </w:r>
    </w:p>
    <w:p w:rsidR="00000000" w:rsidRDefault="00B4505B">
      <w:pPr>
        <w:pStyle w:val="Figure"/>
        <w:spacing w:before="240"/>
        <w:ind w:firstLine="360"/>
        <w:rPr>
          <w:sz w:val="24"/>
          <w:szCs w:val="24"/>
        </w:rPr>
      </w:pPr>
    </w:p>
    <w:p w:rsidR="00000000" w:rsidRDefault="00B4505B">
      <w:pPr>
        <w:pStyle w:val="centerpar"/>
        <w:ind w:firstLine="360"/>
      </w:pPr>
      <w:r>
        <w:lastRenderedPageBreak/>
        <w:drawing>
          <wp:inline distT="0" distB="0" distL="0" distR="0">
            <wp:extent cx="2717800" cy="4089400"/>
            <wp:effectExtent l="1905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2717800" cy="4089400"/>
                    </a:xfrm>
                    <a:prstGeom prst="rect">
                      <a:avLst/>
                    </a:prstGeom>
                    <a:noFill/>
                    <a:ln w="9525">
                      <a:noFill/>
                      <a:miter lim="800000"/>
                      <a:headEnd/>
                      <a:tailEnd/>
                    </a:ln>
                  </pic:spPr>
                </pic:pic>
              </a:graphicData>
            </a:graphic>
          </wp:inline>
        </w:drawing>
      </w:r>
      <w:r>
        <w:t xml:space="preserve"> </w:t>
      </w:r>
      <w:r>
        <w:drawing>
          <wp:inline distT="0" distB="0" distL="0" distR="0">
            <wp:extent cx="2717800" cy="4089400"/>
            <wp:effectExtent l="1905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srcRect/>
                    <a:stretch>
                      <a:fillRect/>
                    </a:stretch>
                  </pic:blipFill>
                  <pic:spPr bwMode="auto">
                    <a:xfrm>
                      <a:off x="0" y="0"/>
                      <a:ext cx="2717800" cy="4089400"/>
                    </a:xfrm>
                    <a:prstGeom prst="rect">
                      <a:avLst/>
                    </a:prstGeom>
                    <a:noFill/>
                    <a:ln w="9525">
                      <a:noFill/>
                      <a:miter lim="800000"/>
                      <a:headEnd/>
                      <a:tailEnd/>
                    </a:ln>
                  </pic:spPr>
                </pic:pic>
              </a:graphicData>
            </a:graphic>
          </wp:inline>
        </w:drawing>
      </w:r>
      <w:r>
        <w:t xml:space="preserve"> </w:t>
      </w:r>
    </w:p>
    <w:p w:rsidR="00000000" w:rsidRDefault="00B4505B">
      <w:pPr>
        <w:pStyle w:val="centerpar"/>
        <w:ind w:firstLine="360"/>
      </w:pPr>
      <w:r>
        <w:lastRenderedPageBreak/>
        <w:drawing>
          <wp:inline distT="0" distB="0" distL="0" distR="0">
            <wp:extent cx="2717800" cy="4089400"/>
            <wp:effectExtent l="1905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srcRect/>
                    <a:stretch>
                      <a:fillRect/>
                    </a:stretch>
                  </pic:blipFill>
                  <pic:spPr bwMode="auto">
                    <a:xfrm>
                      <a:off x="0" y="0"/>
                      <a:ext cx="2717800" cy="4089400"/>
                    </a:xfrm>
                    <a:prstGeom prst="rect">
                      <a:avLst/>
                    </a:prstGeom>
                    <a:noFill/>
                    <a:ln w="9525">
                      <a:noFill/>
                      <a:miter lim="800000"/>
                      <a:headEnd/>
                      <a:tailEnd/>
                    </a:ln>
                  </pic:spPr>
                </pic:pic>
              </a:graphicData>
            </a:graphic>
          </wp:inline>
        </w:drawing>
      </w:r>
      <w:r>
        <w:t xml:space="preserve"> </w:t>
      </w:r>
      <w:r>
        <w:drawing>
          <wp:inline distT="0" distB="0" distL="0" distR="0">
            <wp:extent cx="2717800" cy="4089400"/>
            <wp:effectExtent l="1905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srcRect/>
                    <a:stretch>
                      <a:fillRect/>
                    </a:stretch>
                  </pic:blipFill>
                  <pic:spPr bwMode="auto">
                    <a:xfrm>
                      <a:off x="0" y="0"/>
                      <a:ext cx="2717800" cy="4089400"/>
                    </a:xfrm>
                    <a:prstGeom prst="rect">
                      <a:avLst/>
                    </a:prstGeom>
                    <a:noFill/>
                    <a:ln w="9525">
                      <a:noFill/>
                      <a:miter lim="800000"/>
                      <a:headEnd/>
                      <a:tailEnd/>
                    </a:ln>
                  </pic:spPr>
                </pic:pic>
              </a:graphicData>
            </a:graphic>
          </wp:inline>
        </w:drawing>
      </w:r>
    </w:p>
    <w:p w:rsidR="00000000" w:rsidRDefault="00B4505B">
      <w:pPr>
        <w:pStyle w:val="Caption"/>
      </w:pPr>
      <w:r>
        <w:t xml:space="preserve">Figure </w:t>
      </w:r>
      <w:bookmarkStart w:id="49" w:name="BMfig_strat_vort1"/>
      <w:r>
        <w:t>19</w:t>
      </w:r>
      <w:bookmarkEnd w:id="49"/>
      <w:r>
        <w:t>: Vorticity contours from the stably stratified simulation. From top left to bottom right the images are taken at 20, 40, 60, and 80 seconds.</w:t>
      </w:r>
      <w:r>
        <w:fldChar w:fldCharType="begin"/>
      </w:r>
      <w:r>
        <w:instrText xml:space="preserve">TC "19 Vorticity contours </w:instrText>
      </w:r>
      <w:r>
        <w:instrText>from the stably stratified simulation. From top left to bottom right the images are taken at 20, 40, 60, and 80 seconds." \f f</w:instrText>
      </w:r>
      <w:r>
        <w:fldChar w:fldCharType="end"/>
      </w:r>
    </w:p>
    <w:p w:rsidR="00000000" w:rsidRDefault="00B4505B">
      <w:pPr>
        <w:spacing w:before="240"/>
        <w:ind w:firstLine="360"/>
      </w:pPr>
      <w:r>
        <w:lastRenderedPageBreak/>
        <w:t>The effect of the baroclinically-generated vorticity is incorporated in the model by adjusting the strength of the halo vortice</w:t>
      </w:r>
      <w:r>
        <w:t>s. To do this, we combine Eqs. (</w:t>
      </w:r>
      <w:fldSimple w:instr="REF BMeq_circ_def \* MERGEFORMAT ">
        <w:r>
          <w:t>3</w:t>
        </w:r>
      </w:fldSimple>
      <w:r>
        <w:t>) and (</w:t>
      </w:r>
      <w:fldSimple w:instr="REF BMeq_baro \* MERGEFORMAT ">
        <w:r>
          <w:t>30</w:t>
        </w:r>
      </w:fldSimple>
      <w:r>
        <w:t xml:space="preserve">) in order to arrive at the following equation for the rate at which the circulation in the halo is adjusted due to baroclinic generation </w:t>
      </w:r>
    </w:p>
    <w:p w:rsidR="00000000" w:rsidRDefault="00B4505B">
      <w:pPr>
        <w:pStyle w:val="equationNum"/>
        <w:tabs>
          <w:tab w:val="center" w:pos="4336"/>
          <w:tab w:val="right" w:pos="8672"/>
        </w:tabs>
      </w:pPr>
      <w:r>
        <w:tab/>
      </w:r>
      <w:r>
        <w:fldChar w:fldCharType="begin"/>
      </w:r>
      <w:r>
        <w:instrText xml:space="preserve"> EQ  \</w:instrText>
      </w:r>
      <w:r>
        <w:instrText>F(</w:instrText>
      </w:r>
      <w:r>
        <w:rPr>
          <w:i/>
          <w:iCs/>
        </w:rPr>
        <w:instrText>d</w:instrText>
      </w:r>
      <w:r>
        <w:instrText>Γ</w:instrText>
      </w:r>
      <w:r>
        <w:instrText>\s\do6(</w:instrText>
      </w:r>
      <w:r>
        <w:rPr>
          <w:i/>
          <w:iCs/>
          <w:sz w:val="20"/>
          <w:szCs w:val="20"/>
        </w:rPr>
        <w:instrText>b</w:instrText>
      </w:r>
      <w:r>
        <w:instrText>),</w:instrText>
      </w:r>
      <w:r>
        <w:rPr>
          <w:i/>
          <w:iCs/>
        </w:rPr>
        <w:instrText>dt</w:instrText>
      </w:r>
      <w:r>
        <w:instrText>)</w:instrText>
      </w:r>
      <w:r>
        <w:rPr>
          <w:sz w:val="18"/>
          <w:szCs w:val="18"/>
        </w:rPr>
        <w:instrText xml:space="preserve"> </w:instrText>
      </w:r>
      <w:r>
        <w:instrText>=</w:instrText>
      </w:r>
      <w:r>
        <w:rPr>
          <w:sz w:val="18"/>
          <w:szCs w:val="18"/>
        </w:rPr>
        <w:instrText xml:space="preserve"> </w:instrText>
      </w:r>
      <w:r>
        <w:instrText xml:space="preserve"> \i (</w:instrText>
      </w:r>
      <w:r>
        <w:rPr>
          <w:i/>
          <w:iCs/>
        </w:rPr>
        <w:instrText>A</w:instrText>
      </w:r>
      <w:r>
        <w:instrText>,, ) \F(</w:instrText>
      </w:r>
      <w:r>
        <w:instrText>∂ω</w:instrText>
      </w:r>
      <w:r>
        <w:instrText>,</w:instrText>
      </w:r>
      <w:r>
        <w:instrText>∂</w:instrText>
      </w:r>
      <w:r>
        <w:rPr>
          <w:i/>
          <w:iCs/>
        </w:rPr>
        <w:instrText>t</w:instrText>
      </w:r>
      <w:r>
        <w:instrText>)</w:instrText>
      </w:r>
      <w:r>
        <w:rPr>
          <w:i/>
          <w:iCs/>
        </w:rPr>
        <w:instrText>dA</w:instrText>
      </w:r>
      <w:r>
        <w:rPr>
          <w:sz w:val="18"/>
          <w:szCs w:val="18"/>
        </w:rPr>
        <w:instrText xml:space="preserve"> </w:instrText>
      </w:r>
      <w:r>
        <w:instrText>=</w:instrText>
      </w:r>
      <w:r>
        <w:rPr>
          <w:sz w:val="18"/>
          <w:szCs w:val="18"/>
        </w:rPr>
        <w:instrText xml:space="preserve"> </w:instrText>
      </w:r>
      <w:r>
        <w:instrText xml:space="preserve"> \F(</w:instrText>
      </w:r>
      <w:r>
        <w:rPr>
          <w:i/>
          <w:iCs/>
        </w:rPr>
        <w:instrText>g</w:instrText>
      </w:r>
      <w:r>
        <w:instrText>,</w:instrText>
      </w:r>
      <w:r>
        <w:instrText>Θ</w:instrText>
      </w:r>
      <w:r>
        <w:instrText>\s\do6(</w:instrText>
      </w:r>
      <w:r>
        <w:rPr>
          <w:sz w:val="20"/>
          <w:szCs w:val="20"/>
        </w:rPr>
        <w:instrText>0</w:instrText>
      </w:r>
      <w:r>
        <w:instrText>)) \i (</w:instrText>
      </w:r>
      <w:r>
        <w:rPr>
          <w:i/>
          <w:iCs/>
        </w:rPr>
        <w:instrText>z</w:instrText>
      </w:r>
      <w:r>
        <w:instrText>=</w:instrText>
      </w:r>
      <w:r>
        <w:instrText>−</w:instrText>
      </w:r>
      <w:r>
        <w:rPr>
          <w:i/>
          <w:iCs/>
        </w:rPr>
        <w:instrText>b</w:instrText>
      </w:r>
      <w:r>
        <w:instrText>/2,</w:instrText>
      </w:r>
      <w:r>
        <w:rPr>
          <w:i/>
          <w:iCs/>
        </w:rPr>
        <w:instrText>b</w:instrText>
      </w:r>
      <w:r>
        <w:instrText>/2, ) \i (</w:instrText>
      </w:r>
      <w:r>
        <w:rPr>
          <w:i/>
          <w:iCs/>
        </w:rPr>
        <w:instrText>y</w:instrText>
      </w:r>
      <w:r>
        <w:instrText>=</w:instrText>
      </w:r>
      <w:r>
        <w:rPr>
          <w:i/>
          <w:iCs/>
        </w:rPr>
        <w:instrText>y</w:instrText>
      </w:r>
      <w:r>
        <w:instrText>\s\do6(</w:instrText>
      </w:r>
      <w:r>
        <w:rPr>
          <w:sz w:val="20"/>
          <w:szCs w:val="20"/>
        </w:rPr>
        <w:instrText>1</w:instrText>
      </w:r>
      <w:r>
        <w:instrText>)(</w:instrText>
      </w:r>
      <w:r>
        <w:rPr>
          <w:i/>
          <w:iCs/>
        </w:rPr>
        <w:instrText>z</w:instrText>
      </w:r>
      <w:r>
        <w:instrText>),</w:instrText>
      </w:r>
      <w:r>
        <w:rPr>
          <w:i/>
          <w:iCs/>
        </w:rPr>
        <w:instrText>y</w:instrText>
      </w:r>
      <w:r>
        <w:instrText>2(</w:instrText>
      </w:r>
      <w:r>
        <w:rPr>
          <w:i/>
          <w:iCs/>
        </w:rPr>
        <w:instrText>z</w:instrText>
      </w:r>
      <w:r>
        <w:instrText>), ) \F(</w:instrText>
      </w:r>
      <w:r>
        <w:instrText>∂Θ</w:instrText>
      </w:r>
      <w:r>
        <w:instrText>\s\up6(</w:instrText>
      </w:r>
      <w:r>
        <w:rPr>
          <w:sz w:val="20"/>
          <w:szCs w:val="20"/>
        </w:rPr>
        <w:instrText>'</w:instrText>
      </w:r>
      <w:r>
        <w:instrText>),</w:instrText>
      </w:r>
      <w:r>
        <w:instrText>∂</w:instrText>
      </w:r>
      <w:r>
        <w:rPr>
          <w:i/>
          <w:iCs/>
        </w:rPr>
        <w:instrText>y</w:instrText>
      </w:r>
      <w:r>
        <w:instrText>)</w:instrText>
      </w:r>
      <w:r>
        <w:rPr>
          <w:sz w:val="18"/>
          <w:szCs w:val="18"/>
        </w:rPr>
        <w:instrText xml:space="preserve"> </w:instrText>
      </w:r>
      <w:r>
        <w:rPr>
          <w:i/>
          <w:iCs/>
        </w:rPr>
        <w:instrText>dy</w:instrText>
      </w:r>
      <w:r>
        <w:rPr>
          <w:sz w:val="18"/>
          <w:szCs w:val="18"/>
        </w:rPr>
        <w:instrText xml:space="preserve"> </w:instrText>
      </w:r>
      <w:r>
        <w:rPr>
          <w:i/>
          <w:iCs/>
        </w:rPr>
        <w:instrText>dz</w:instrText>
      </w:r>
      <w:r>
        <w:fldChar w:fldCharType="end"/>
      </w:r>
      <w:r>
        <w:tab/>
        <w:t>(</w:t>
      </w:r>
      <w:bookmarkStart w:id="50" w:name="BMeq_baro_circ"/>
      <w:r>
        <w:t>30</w:t>
      </w:r>
      <w:bookmarkEnd w:id="50"/>
      <w:r>
        <w:t>)</w:t>
      </w:r>
    </w:p>
    <w:p w:rsidR="00000000" w:rsidRDefault="00B4505B">
      <w:r>
        <w:t xml:space="preserve">where </w:t>
      </w:r>
      <w:r>
        <w:fldChar w:fldCharType="begin"/>
      </w:r>
      <w:r>
        <w:instrText xml:space="preserve"> EQ </w:instrText>
      </w:r>
      <w:r>
        <w:instrText>Γ</w:instrText>
      </w:r>
      <w:r>
        <w:instrText>\s\do6(</w:instrText>
      </w:r>
      <w:r>
        <w:rPr>
          <w:i/>
          <w:iCs/>
          <w:sz w:val="20"/>
          <w:szCs w:val="20"/>
        </w:rPr>
        <w:instrText>b</w:instrText>
      </w:r>
      <w:r>
        <w:instrText>)</w:instrText>
      </w:r>
      <w:r>
        <w:fldChar w:fldCharType="end"/>
      </w:r>
      <w:r>
        <w:t xml:space="preserve"> is the circulation due to baroclinic generation. The integratio</w:t>
      </w:r>
      <w:r>
        <w:t xml:space="preserve">n is carried out over the annular region depicted in Figure </w:t>
      </w:r>
      <w:fldSimple w:instr="REF BMfig_ring \* MERGEFORMAT ">
        <w:r>
          <w:t>20</w:t>
        </w:r>
      </w:fldSimple>
      <w:r>
        <w:t xml:space="preserve"> and the integral is performed in a Cartesian coordinate system as indicated by the sample element. The outer ring of the annulus is positioned at </w:t>
      </w:r>
      <w:r>
        <w:rPr>
          <w:i/>
          <w:iCs/>
        </w:rPr>
        <w:t>r</w:t>
      </w:r>
      <w:r>
        <w:t>=</w:t>
      </w:r>
      <w:r>
        <w:rPr>
          <w:i/>
          <w:iCs/>
        </w:rPr>
        <w:t>b</w:t>
      </w:r>
      <w:r>
        <w:t>/2</w:t>
      </w:r>
      <w:r>
        <w:t xml:space="preserve">, which is half the separation distance between the primary vortices. Figure </w:t>
      </w:r>
      <w:fldSimple w:instr="REF BMfig_strat_vort1 \* MERGEFORMAT ">
        <w:r>
          <w:t>19</w:t>
        </w:r>
      </w:fldSimple>
      <w:r>
        <w:t xml:space="preserve"> indicates that this is the approximate outer extent of the baroclinic vorticity generation zone.</w:t>
      </w:r>
    </w:p>
    <w:p w:rsidR="00000000" w:rsidRDefault="00B4505B">
      <w:pPr>
        <w:pStyle w:val="Figure"/>
        <w:spacing w:before="240"/>
        <w:ind w:firstLine="360"/>
        <w:rPr>
          <w:sz w:val="24"/>
          <w:szCs w:val="24"/>
        </w:rPr>
      </w:pPr>
    </w:p>
    <w:p w:rsidR="00000000" w:rsidRDefault="00B4505B">
      <w:pPr>
        <w:pStyle w:val="centerpar"/>
        <w:ind w:firstLine="360"/>
      </w:pPr>
      <w:r>
        <w:drawing>
          <wp:inline distT="0" distB="0" distL="0" distR="0">
            <wp:extent cx="4114800" cy="5803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srcRect/>
                    <a:stretch>
                      <a:fillRect/>
                    </a:stretch>
                  </pic:blipFill>
                  <pic:spPr bwMode="auto">
                    <a:xfrm>
                      <a:off x="0" y="0"/>
                      <a:ext cx="4114800" cy="5803900"/>
                    </a:xfrm>
                    <a:prstGeom prst="rect">
                      <a:avLst/>
                    </a:prstGeom>
                    <a:noFill/>
                    <a:ln w="9525">
                      <a:noFill/>
                      <a:miter lim="800000"/>
                      <a:headEnd/>
                      <a:tailEnd/>
                    </a:ln>
                  </pic:spPr>
                </pic:pic>
              </a:graphicData>
            </a:graphic>
          </wp:inline>
        </w:drawing>
      </w:r>
      <w:r>
        <w:t xml:space="preserve"> </w:t>
      </w:r>
    </w:p>
    <w:p w:rsidR="00000000" w:rsidRDefault="00B4505B">
      <w:pPr>
        <w:pStyle w:val="Caption"/>
      </w:pPr>
      <w:r>
        <w:lastRenderedPageBreak/>
        <w:t>F</w:t>
      </w:r>
      <w:r>
        <w:t xml:space="preserve">igure </w:t>
      </w:r>
      <w:bookmarkStart w:id="51" w:name="BMfig_ring"/>
      <w:r>
        <w:t>20</w:t>
      </w:r>
      <w:bookmarkEnd w:id="51"/>
      <w:r>
        <w:t>: Area of integration for computing the rate at which circulation changes as a result of baroclinic generation.</w:t>
      </w:r>
      <w:r>
        <w:fldChar w:fldCharType="begin"/>
      </w:r>
      <w:r>
        <w:instrText>TC "20 Area of integration for computing the rate at which circulation changes as a result of baroclinic generation."</w:instrText>
      </w:r>
      <w:r>
        <w:instrText xml:space="preserve"> \f f</w:instrText>
      </w:r>
      <w:r>
        <w:fldChar w:fldCharType="end"/>
      </w:r>
    </w:p>
    <w:p w:rsidR="00000000" w:rsidRDefault="00B4505B">
      <w:pPr>
        <w:spacing w:before="240"/>
        <w:ind w:firstLine="360"/>
      </w:pPr>
      <w:r>
        <w:t xml:space="preserve">Since </w:t>
      </w:r>
      <w:r>
        <w:fldChar w:fldCharType="begin"/>
      </w:r>
      <w:r>
        <w:instrText xml:space="preserve"> EQ </w:instrText>
      </w:r>
      <w:r>
        <w:instrText>Θ</w:instrText>
      </w:r>
      <w:r>
        <w:instrText>\s\up6(</w:instrText>
      </w:r>
      <w:r>
        <w:rPr>
          <w:sz w:val="20"/>
          <w:szCs w:val="20"/>
        </w:rPr>
        <w:instrText>'</w:instrText>
      </w:r>
      <w:r>
        <w:instrText>)</w:instrText>
      </w:r>
      <w:r>
        <w:instrText>≡Θ</w:instrText>
      </w:r>
      <w:r>
        <w:instrText>(</w:instrText>
      </w:r>
      <w:r>
        <w:rPr>
          <w:i/>
          <w:iCs/>
        </w:rPr>
        <w:instrText>y</w:instrText>
      </w:r>
      <w:r>
        <w:instrText>\,</w:instrText>
      </w:r>
      <w:r>
        <w:rPr>
          <w:i/>
          <w:iCs/>
        </w:rPr>
        <w:instrText>z</w:instrText>
      </w:r>
      <w:r>
        <w:instrText>)</w:instrText>
      </w:r>
      <w:r>
        <w:instrText>−</w:instrText>
      </w:r>
      <w:r>
        <w:instrText xml:space="preserve"> \x\to( </w:instrText>
      </w:r>
      <w:r>
        <w:instrText>Θ</w:instrText>
      </w:r>
      <w:r>
        <w:instrText>) (</w:instrText>
      </w:r>
      <w:r>
        <w:rPr>
          <w:i/>
          <w:iCs/>
        </w:rPr>
        <w:instrText>z</w:instrText>
      </w:r>
      <w:r>
        <w:instrText>)</w:instrText>
      </w:r>
      <w:r>
        <w:fldChar w:fldCharType="end"/>
      </w:r>
      <w:r>
        <w:t xml:space="preserve"> it follows that </w:t>
      </w:r>
      <w:r>
        <w:fldChar w:fldCharType="begin"/>
      </w:r>
      <w:r>
        <w:instrText xml:space="preserve"> EQ </w:instrText>
      </w:r>
      <w:r>
        <w:instrText>∂Θ</w:instrText>
      </w:r>
      <w:r>
        <w:instrText>\s\up6(</w:instrText>
      </w:r>
      <w:r>
        <w:rPr>
          <w:sz w:val="20"/>
          <w:szCs w:val="20"/>
        </w:rPr>
        <w:instrText>'</w:instrText>
      </w:r>
      <w:r>
        <w:instrText>)/</w:instrText>
      </w:r>
      <w:r>
        <w:instrText>∂</w:instrText>
      </w:r>
      <w:r>
        <w:rPr>
          <w:i/>
          <w:iCs/>
        </w:rPr>
        <w:instrText>y</w:instrText>
      </w:r>
      <w:r>
        <w:instrText>=</w:instrText>
      </w:r>
      <w:r>
        <w:instrText>∂Θ</w:instrText>
      </w:r>
      <w:r>
        <w:instrText>/</w:instrText>
      </w:r>
      <w:r>
        <w:instrText>∂</w:instrText>
      </w:r>
      <w:r>
        <w:rPr>
          <w:i/>
          <w:iCs/>
        </w:rPr>
        <w:instrText>y</w:instrText>
      </w:r>
      <w:r>
        <w:fldChar w:fldCharType="end"/>
      </w:r>
      <w:r>
        <w:t>, and thus the inner integral in Eq. (</w:t>
      </w:r>
      <w:fldSimple w:instr="REF BMeq_baro_circ \* MERGEFORMAT ">
        <w:r>
          <w:t>31</w:t>
        </w:r>
      </w:fldSimple>
      <w:r>
        <w:t xml:space="preserve">) readily evaluates to </w:t>
      </w:r>
    </w:p>
    <w:p w:rsidR="00000000" w:rsidRDefault="00B4505B">
      <w:pPr>
        <w:pStyle w:val="equationNum"/>
        <w:tabs>
          <w:tab w:val="center" w:pos="4336"/>
          <w:tab w:val="right" w:pos="8672"/>
        </w:tabs>
      </w:pPr>
      <w:r>
        <w:tab/>
      </w:r>
      <w:r>
        <w:fldChar w:fldCharType="begin"/>
      </w:r>
      <w:r>
        <w:instrText xml:space="preserve"> EQ  \i (</w:instrText>
      </w:r>
      <w:r>
        <w:rPr>
          <w:i/>
          <w:iCs/>
        </w:rPr>
        <w:instrText>y</w:instrText>
      </w:r>
      <w:r>
        <w:instrText>=</w:instrText>
      </w:r>
      <w:r>
        <w:rPr>
          <w:i/>
          <w:iCs/>
        </w:rPr>
        <w:instrText>y</w:instrText>
      </w:r>
      <w:r>
        <w:instrText>\s\do6(</w:instrText>
      </w:r>
      <w:r>
        <w:rPr>
          <w:sz w:val="20"/>
          <w:szCs w:val="20"/>
        </w:rPr>
        <w:instrText>1</w:instrText>
      </w:r>
      <w:r>
        <w:instrText>)(</w:instrText>
      </w:r>
      <w:r>
        <w:rPr>
          <w:i/>
          <w:iCs/>
        </w:rPr>
        <w:instrText>z</w:instrText>
      </w:r>
      <w:r>
        <w:instrText>),</w:instrText>
      </w:r>
      <w:r>
        <w:rPr>
          <w:i/>
          <w:iCs/>
        </w:rPr>
        <w:instrText>y</w:instrText>
      </w:r>
      <w:r>
        <w:instrText>2(</w:instrText>
      </w:r>
      <w:r>
        <w:rPr>
          <w:i/>
          <w:iCs/>
        </w:rPr>
        <w:instrText>z</w:instrText>
      </w:r>
      <w:r>
        <w:instrText>), ) \F(</w:instrText>
      </w:r>
      <w:r>
        <w:instrText>∂Θ</w:instrText>
      </w:r>
      <w:r>
        <w:instrText>\s\up6(</w:instrText>
      </w:r>
      <w:r>
        <w:rPr>
          <w:sz w:val="20"/>
          <w:szCs w:val="20"/>
        </w:rPr>
        <w:instrText>'</w:instrText>
      </w:r>
      <w:r>
        <w:instrText>),</w:instrText>
      </w:r>
      <w:r>
        <w:instrText>∂</w:instrText>
      </w:r>
      <w:r>
        <w:rPr>
          <w:i/>
          <w:iCs/>
        </w:rPr>
        <w:instrText>y</w:instrText>
      </w:r>
      <w:r>
        <w:instrText>)</w:instrText>
      </w:r>
      <w:r>
        <w:rPr>
          <w:sz w:val="18"/>
          <w:szCs w:val="18"/>
        </w:rPr>
        <w:instrText xml:space="preserve"> </w:instrText>
      </w:r>
      <w:r>
        <w:rPr>
          <w:i/>
          <w:iCs/>
        </w:rPr>
        <w:instrText>dy</w:instrText>
      </w:r>
      <w:r>
        <w:rPr>
          <w:sz w:val="18"/>
          <w:szCs w:val="18"/>
        </w:rPr>
        <w:instrText xml:space="preserve"> </w:instrText>
      </w:r>
      <w:r>
        <w:instrText>=</w:instrText>
      </w:r>
      <w:r>
        <w:rPr>
          <w:sz w:val="18"/>
          <w:szCs w:val="18"/>
        </w:rPr>
        <w:instrText xml:space="preserve"> </w:instrText>
      </w:r>
      <w:r>
        <w:instrText xml:space="preserve"> \i (</w:instrText>
      </w:r>
      <w:r>
        <w:rPr>
          <w:i/>
          <w:iCs/>
        </w:rPr>
        <w:instrText>y</w:instrText>
      </w:r>
      <w:r>
        <w:instrText>=</w:instrText>
      </w:r>
      <w:r>
        <w:rPr>
          <w:i/>
          <w:iCs/>
        </w:rPr>
        <w:instrText>y</w:instrText>
      </w:r>
      <w:r>
        <w:instrText>\s\do6(</w:instrText>
      </w:r>
      <w:r>
        <w:rPr>
          <w:sz w:val="20"/>
          <w:szCs w:val="20"/>
        </w:rPr>
        <w:instrText>1</w:instrText>
      </w:r>
      <w:r>
        <w:instrText>)(</w:instrText>
      </w:r>
      <w:r>
        <w:rPr>
          <w:i/>
          <w:iCs/>
        </w:rPr>
        <w:instrText>z</w:instrText>
      </w:r>
      <w:r>
        <w:instrText>),</w:instrText>
      </w:r>
      <w:r>
        <w:rPr>
          <w:i/>
          <w:iCs/>
        </w:rPr>
        <w:instrText>y</w:instrText>
      </w:r>
      <w:r>
        <w:instrText>2(</w:instrText>
      </w:r>
      <w:r>
        <w:rPr>
          <w:i/>
          <w:iCs/>
        </w:rPr>
        <w:instrText>z</w:instrText>
      </w:r>
      <w:r>
        <w:instrText>), ) \F(</w:instrText>
      </w:r>
      <w:r>
        <w:instrText>∂Θ</w:instrText>
      </w:r>
      <w:r>
        <w:instrText>,</w:instrText>
      </w:r>
      <w:r>
        <w:instrText>∂</w:instrText>
      </w:r>
      <w:r>
        <w:rPr>
          <w:i/>
          <w:iCs/>
        </w:rPr>
        <w:instrText>y</w:instrText>
      </w:r>
      <w:r>
        <w:instrText>)</w:instrText>
      </w:r>
      <w:r>
        <w:rPr>
          <w:sz w:val="18"/>
          <w:szCs w:val="18"/>
        </w:rPr>
        <w:instrText xml:space="preserve"> </w:instrText>
      </w:r>
      <w:r>
        <w:rPr>
          <w:i/>
          <w:iCs/>
        </w:rPr>
        <w:instrText>dy</w:instrText>
      </w:r>
      <w:r>
        <w:rPr>
          <w:sz w:val="18"/>
          <w:szCs w:val="18"/>
        </w:rPr>
        <w:instrText xml:space="preserve"> </w:instrText>
      </w:r>
      <w:r>
        <w:instrText>=</w:instrText>
      </w:r>
      <w:r>
        <w:rPr>
          <w:sz w:val="18"/>
          <w:szCs w:val="18"/>
        </w:rPr>
        <w:instrText xml:space="preserve"> </w:instrText>
      </w:r>
      <w:r>
        <w:instrText>Θ</w:instrText>
      </w:r>
      <w:r>
        <w:instrText>[</w:instrText>
      </w:r>
      <w:r>
        <w:rPr>
          <w:i/>
          <w:iCs/>
        </w:rPr>
        <w:instrText>y</w:instrText>
      </w:r>
      <w:r>
        <w:instrText>\s\do6(</w:instrText>
      </w:r>
      <w:r>
        <w:rPr>
          <w:sz w:val="20"/>
          <w:szCs w:val="20"/>
        </w:rPr>
        <w:instrText>2</w:instrText>
      </w:r>
      <w:r>
        <w:instrText>)(</w:instrText>
      </w:r>
      <w:r>
        <w:rPr>
          <w:i/>
          <w:iCs/>
        </w:rPr>
        <w:instrText>z</w:instrText>
      </w:r>
      <w:r>
        <w:instrText>)\,</w:instrText>
      </w:r>
      <w:r>
        <w:rPr>
          <w:i/>
          <w:iCs/>
        </w:rPr>
        <w:instrText>z</w:instrText>
      </w:r>
      <w:r>
        <w:instrText>]</w:instrText>
      </w:r>
      <w:r>
        <w:instrText>−</w:instrText>
      </w:r>
      <w:r>
        <w:instrText>Θ</w:instrText>
      </w:r>
      <w:r>
        <w:instrText>[</w:instrText>
      </w:r>
      <w:r>
        <w:rPr>
          <w:i/>
          <w:iCs/>
        </w:rPr>
        <w:instrText>y</w:instrText>
      </w:r>
      <w:r>
        <w:instrText>\s\do6(</w:instrText>
      </w:r>
      <w:r>
        <w:rPr>
          <w:sz w:val="20"/>
          <w:szCs w:val="20"/>
        </w:rPr>
        <w:instrText>1</w:instrText>
      </w:r>
      <w:r>
        <w:instrText>)(</w:instrText>
      </w:r>
      <w:r>
        <w:rPr>
          <w:i/>
          <w:iCs/>
        </w:rPr>
        <w:instrText>z</w:instrText>
      </w:r>
      <w:r>
        <w:instrText>)\,</w:instrText>
      </w:r>
      <w:r>
        <w:rPr>
          <w:i/>
          <w:iCs/>
        </w:rPr>
        <w:instrText>z</w:instrText>
      </w:r>
      <w:r>
        <w:instrText>]</w:instrText>
      </w:r>
      <w:r>
        <w:fldChar w:fldCharType="end"/>
      </w:r>
      <w:r>
        <w:tab/>
        <w:t>(</w:t>
      </w:r>
      <w:bookmarkStart w:id="52" w:name="BMeq_first_int"/>
      <w:r>
        <w:t>31</w:t>
      </w:r>
      <w:bookmarkEnd w:id="52"/>
      <w:r>
        <w:t>)</w:t>
      </w:r>
    </w:p>
    <w:p w:rsidR="00000000" w:rsidRDefault="00B4505B">
      <w:r>
        <w:t xml:space="preserve">Now, </w:t>
      </w:r>
      <w:r>
        <w:fldChar w:fldCharType="begin"/>
      </w:r>
      <w:r>
        <w:instrText xml:space="preserve"> EQ </w:instrText>
      </w:r>
      <w:r>
        <w:instrText>Θ</w:instrText>
      </w:r>
      <w:r>
        <w:instrText>[</w:instrText>
      </w:r>
      <w:r>
        <w:rPr>
          <w:i/>
          <w:iCs/>
        </w:rPr>
        <w:instrText>y</w:instrText>
      </w:r>
      <w:r>
        <w:instrText>\s\do6(</w:instrText>
      </w:r>
      <w:r>
        <w:rPr>
          <w:sz w:val="20"/>
          <w:szCs w:val="20"/>
        </w:rPr>
        <w:instrText>2</w:instrText>
      </w:r>
      <w:r>
        <w:instrText>)(</w:instrText>
      </w:r>
      <w:r>
        <w:rPr>
          <w:i/>
          <w:iCs/>
        </w:rPr>
        <w:instrText>z</w:instrText>
      </w:r>
      <w:r>
        <w:instrText>)\,</w:instrText>
      </w:r>
      <w:r>
        <w:rPr>
          <w:i/>
          <w:iCs/>
        </w:rPr>
        <w:instrText>z</w:instrText>
      </w:r>
      <w:r>
        <w:instrText>]</w:instrText>
      </w:r>
      <w:r>
        <w:fldChar w:fldCharType="end"/>
      </w:r>
      <w:r>
        <w:t xml:space="preserve"> is the potential temperature within the wake oval, which we shall approximate as being constant and equal to </w:t>
      </w:r>
      <w:r>
        <w:fldChar w:fldCharType="begin"/>
      </w:r>
      <w:r>
        <w:instrText xml:space="preserve"> EQ </w:instrText>
      </w:r>
      <w:r>
        <w:instrText>Θ</w:instrText>
      </w:r>
      <w:r>
        <w:instrText>\s\do6(</w:instrText>
      </w:r>
      <w:r>
        <w:rPr>
          <w:sz w:val="20"/>
          <w:szCs w:val="20"/>
        </w:rPr>
        <w:instrText>0</w:instrText>
      </w:r>
      <w:r>
        <w:instrText>)</w:instrText>
      </w:r>
      <w:r>
        <w:fldChar w:fldCharType="end"/>
      </w:r>
      <w:r>
        <w:t xml:space="preserve">. Additionally, </w:t>
      </w:r>
      <w:r>
        <w:fldChar w:fldCharType="begin"/>
      </w:r>
      <w:r>
        <w:instrText xml:space="preserve"> EQ </w:instrText>
      </w:r>
      <w:r>
        <w:instrText>Θ</w:instrText>
      </w:r>
      <w:r>
        <w:instrText>[</w:instrText>
      </w:r>
      <w:r>
        <w:rPr>
          <w:i/>
          <w:iCs/>
        </w:rPr>
        <w:instrText>y</w:instrText>
      </w:r>
      <w:r>
        <w:instrText>\s\do6(</w:instrText>
      </w:r>
      <w:r>
        <w:rPr>
          <w:sz w:val="20"/>
          <w:szCs w:val="20"/>
        </w:rPr>
        <w:instrText>1</w:instrText>
      </w:r>
      <w:r>
        <w:instrText>)(</w:instrText>
      </w:r>
      <w:r>
        <w:rPr>
          <w:i/>
          <w:iCs/>
        </w:rPr>
        <w:instrText>z</w:instrText>
      </w:r>
      <w:r>
        <w:instrText>)\,</w:instrText>
      </w:r>
      <w:r>
        <w:rPr>
          <w:i/>
          <w:iCs/>
        </w:rPr>
        <w:instrText>z</w:instrText>
      </w:r>
      <w:r>
        <w:instrText>]</w:instrText>
      </w:r>
      <w:r>
        <w:fldChar w:fldCharType="end"/>
      </w:r>
      <w:r>
        <w:t xml:space="preserve"> is the ambient value, which can be written as </w:t>
      </w:r>
      <w:r>
        <w:fldChar w:fldCharType="begin"/>
      </w:r>
      <w:r>
        <w:instrText xml:space="preserve"> EQ </w:instrText>
      </w:r>
      <w:r>
        <w:instrText>Θ</w:instrText>
      </w:r>
      <w:r>
        <w:instrText>[</w:instrText>
      </w:r>
      <w:r>
        <w:rPr>
          <w:i/>
          <w:iCs/>
        </w:rPr>
        <w:instrText>y</w:instrText>
      </w:r>
      <w:r>
        <w:instrText>\s\do6(</w:instrText>
      </w:r>
      <w:r>
        <w:rPr>
          <w:sz w:val="20"/>
          <w:szCs w:val="20"/>
        </w:rPr>
        <w:instrText>1</w:instrText>
      </w:r>
      <w:r>
        <w:instrText>)(</w:instrText>
      </w:r>
      <w:r>
        <w:rPr>
          <w:i/>
          <w:iCs/>
        </w:rPr>
        <w:instrText>z</w:instrText>
      </w:r>
      <w:r>
        <w:instrText>)\,</w:instrText>
      </w:r>
      <w:r>
        <w:rPr>
          <w:i/>
          <w:iCs/>
        </w:rPr>
        <w:instrText>z</w:instrText>
      </w:r>
      <w:r>
        <w:instrText xml:space="preserve">]= \x\to( </w:instrText>
      </w:r>
      <w:r>
        <w:instrText>Θ</w:instrText>
      </w:r>
      <w:r>
        <w:instrText>) (</w:instrText>
      </w:r>
      <w:r>
        <w:rPr>
          <w:i/>
          <w:iCs/>
        </w:rPr>
        <w:instrText>z</w:instrText>
      </w:r>
      <w:r>
        <w:instrText>\s\do</w:instrText>
      </w:r>
      <w:r>
        <w:instrText>6(</w:instrText>
      </w:r>
      <w:r>
        <w:rPr>
          <w:i/>
          <w:iCs/>
          <w:sz w:val="20"/>
          <w:szCs w:val="20"/>
        </w:rPr>
        <w:instrText>c</w:instrText>
      </w:r>
      <w:r>
        <w:instrText>))+</w:instrText>
      </w:r>
      <w:r>
        <w:instrText>α</w:instrText>
      </w:r>
      <w:r>
        <w:rPr>
          <w:i/>
          <w:iCs/>
        </w:rPr>
        <w:instrText>z</w:instrText>
      </w:r>
      <w:r>
        <w:fldChar w:fldCharType="end"/>
      </w:r>
      <w:r>
        <w:t xml:space="preserve">, where </w:t>
      </w:r>
      <w:r>
        <w:fldChar w:fldCharType="begin"/>
      </w:r>
      <w:r>
        <w:instrText xml:space="preserve"> EQ </w:instrText>
      </w:r>
      <w:r>
        <w:rPr>
          <w:i/>
          <w:iCs/>
        </w:rPr>
        <w:instrText>z</w:instrText>
      </w:r>
      <w:r>
        <w:instrText>\s\do6(</w:instrText>
      </w:r>
      <w:r>
        <w:rPr>
          <w:i/>
          <w:iCs/>
          <w:sz w:val="20"/>
          <w:szCs w:val="20"/>
        </w:rPr>
        <w:instrText>c</w:instrText>
      </w:r>
      <w:r>
        <w:instrText>)</w:instrText>
      </w:r>
      <w:r>
        <w:fldChar w:fldCharType="end"/>
      </w:r>
      <w:r>
        <w:t xml:space="preserve"> is the altitude of the primary vortex and </w:t>
      </w:r>
      <w:r>
        <w:t>α</w:t>
      </w:r>
      <w:r>
        <w:t xml:space="preserve"> is the local potential temperature lapse rate.</w:t>
      </w:r>
    </w:p>
    <w:p w:rsidR="00000000" w:rsidRDefault="00B4505B">
      <w:pPr>
        <w:ind w:firstLine="360"/>
      </w:pPr>
      <w:r>
        <w:t>Returning to Eq. (</w:t>
      </w:r>
      <w:fldSimple w:instr="REF BMeq_baro_circ \* MERGEFORMAT ">
        <w:r>
          <w:t>31</w:t>
        </w:r>
      </w:fldSimple>
      <w:r>
        <w:t xml:space="preserve">) with the above simplifications, we obtain the final result </w:t>
      </w:r>
    </w:p>
    <w:p w:rsidR="00000000" w:rsidRDefault="00B4505B">
      <w:pPr>
        <w:pStyle w:val="equationArrayNum"/>
        <w:tabs>
          <w:tab w:val="right" w:pos="3902"/>
          <w:tab w:val="center" w:pos="4336"/>
          <w:tab w:val="left" w:pos="4769"/>
          <w:tab w:val="right" w:pos="8672"/>
        </w:tabs>
      </w:pPr>
      <w:r>
        <w:tab/>
      </w:r>
      <w:r>
        <w:fldChar w:fldCharType="begin"/>
      </w:r>
      <w:r>
        <w:instrText xml:space="preserve"> EQ  \F(</w:instrText>
      </w:r>
      <w:r>
        <w:rPr>
          <w:i/>
          <w:iCs/>
        </w:rPr>
        <w:instrText>d</w:instrText>
      </w:r>
      <w:r>
        <w:instrText>Γ</w:instrText>
      </w:r>
      <w:r>
        <w:instrText>\s\do6(</w:instrText>
      </w:r>
      <w:r>
        <w:rPr>
          <w:i/>
          <w:iCs/>
          <w:sz w:val="20"/>
          <w:szCs w:val="20"/>
        </w:rPr>
        <w:instrText>b</w:instrText>
      </w:r>
      <w:r>
        <w:instrText>),</w:instrText>
      </w:r>
      <w:r>
        <w:rPr>
          <w:i/>
          <w:iCs/>
        </w:rPr>
        <w:instrText>dt</w:instrText>
      </w:r>
      <w:r>
        <w:instrText>)</w:instrText>
      </w:r>
      <w:r>
        <w:fldChar w:fldCharType="end"/>
      </w:r>
      <w:r>
        <w:tab/>
      </w:r>
      <w:r>
        <w:fldChar w:fldCharType="begin"/>
      </w:r>
      <w:r>
        <w:instrText xml:space="preserve"> EQ =</w:instrText>
      </w:r>
      <w:r>
        <w:fldChar w:fldCharType="end"/>
      </w:r>
      <w:r>
        <w:tab/>
      </w:r>
      <w:r>
        <w:fldChar w:fldCharType="begin"/>
      </w:r>
      <w:r>
        <w:instrText xml:space="preserve"> EQ  \F(</w:instrText>
      </w:r>
      <w:r>
        <w:rPr>
          <w:i/>
          <w:iCs/>
        </w:rPr>
        <w:instrText>g</w:instrText>
      </w:r>
      <w:r>
        <w:instrText>,</w:instrText>
      </w:r>
      <w:r>
        <w:instrText>Θ</w:instrText>
      </w:r>
      <w:r>
        <w:instrText>\s\do6(</w:instrText>
      </w:r>
      <w:r>
        <w:rPr>
          <w:sz w:val="20"/>
          <w:szCs w:val="20"/>
        </w:rPr>
        <w:instrText>0</w:instrText>
      </w:r>
      <w:r>
        <w:instrText>)) \i (</w:instrText>
      </w:r>
      <w:r>
        <w:rPr>
          <w:i/>
          <w:iCs/>
        </w:rPr>
        <w:instrText>z</w:instrText>
      </w:r>
      <w:r>
        <w:instrText>=</w:instrText>
      </w:r>
      <w:r>
        <w:instrText>−</w:instrText>
      </w:r>
      <w:r>
        <w:rPr>
          <w:i/>
          <w:iCs/>
        </w:rPr>
        <w:instrText>b</w:instrText>
      </w:r>
      <w:r>
        <w:instrText>/2,</w:instrText>
      </w:r>
      <w:r>
        <w:rPr>
          <w:i/>
          <w:iCs/>
        </w:rPr>
        <w:instrText>b</w:instrText>
      </w:r>
      <w:r>
        <w:instrText>/2, )[</w:instrText>
      </w:r>
      <w:r>
        <w:instrText>Θ</w:instrText>
      </w:r>
      <w:r>
        <w:instrText>\s\do6(</w:instrText>
      </w:r>
      <w:r>
        <w:rPr>
          <w:sz w:val="20"/>
          <w:szCs w:val="20"/>
        </w:rPr>
        <w:instrText>0</w:instrText>
      </w:r>
      <w:r>
        <w:instrText>)</w:instrText>
      </w:r>
      <w:r>
        <w:instrText>−</w:instrText>
      </w:r>
      <w:r>
        <w:instrText xml:space="preserve"> \x\to( </w:instrText>
      </w:r>
      <w:r>
        <w:instrText>Θ</w:instrText>
      </w:r>
      <w:r>
        <w:instrText>) (</w:instrText>
      </w:r>
      <w:r>
        <w:rPr>
          <w:i/>
          <w:iCs/>
        </w:rPr>
        <w:instrText>z</w:instrText>
      </w:r>
      <w:r>
        <w:instrText>\s\do6(</w:instrText>
      </w:r>
      <w:r>
        <w:rPr>
          <w:i/>
          <w:iCs/>
          <w:sz w:val="20"/>
          <w:szCs w:val="20"/>
        </w:rPr>
        <w:instrText>c</w:instrText>
      </w:r>
      <w:r>
        <w:instrText>))</w:instrText>
      </w:r>
      <w:r>
        <w:instrText>−</w:instrText>
      </w:r>
      <w:r>
        <w:instrText>α</w:instrText>
      </w:r>
      <w:r>
        <w:rPr>
          <w:i/>
          <w:iCs/>
        </w:rPr>
        <w:instrText>z</w:instrText>
      </w:r>
      <w:r>
        <w:instrText>]</w:instrText>
      </w:r>
      <w:r>
        <w:rPr>
          <w:sz w:val="18"/>
          <w:szCs w:val="18"/>
        </w:rPr>
        <w:instrText xml:space="preserve"> </w:instrText>
      </w:r>
      <w:r>
        <w:rPr>
          <w:i/>
          <w:iCs/>
        </w:rPr>
        <w:instrText>dz</w:instrText>
      </w:r>
      <w:r>
        <w:fldChar w:fldCharType="end"/>
      </w:r>
    </w:p>
    <w:p w:rsidR="00000000" w:rsidRDefault="00B4505B">
      <w:pPr>
        <w:pStyle w:val="equationArrayNum"/>
        <w:tabs>
          <w:tab w:val="right" w:pos="3902"/>
          <w:tab w:val="center" w:pos="4336"/>
          <w:tab w:val="left" w:pos="4769"/>
          <w:tab w:val="right" w:pos="8672"/>
        </w:tabs>
      </w:pPr>
      <w:r>
        <w:tab/>
      </w:r>
      <w:r>
        <w:fldChar w:fldCharType="begin"/>
      </w:r>
      <w:r>
        <w:instrText xml:space="preserve"> EQ </w:instrText>
      </w:r>
      <w:r>
        <w:fldChar w:fldCharType="end"/>
      </w:r>
      <w:r>
        <w:tab/>
      </w:r>
      <w:r>
        <w:fldChar w:fldCharType="begin"/>
      </w:r>
      <w:r>
        <w:instrText xml:space="preserve"> EQ =</w:instrText>
      </w:r>
      <w:r>
        <w:fldChar w:fldCharType="end"/>
      </w:r>
      <w:r>
        <w:tab/>
      </w:r>
      <w:r>
        <w:fldChar w:fldCharType="begin"/>
      </w:r>
      <w:r>
        <w:instrText xml:space="preserve"> EQ </w:instrText>
      </w:r>
      <w:r>
        <w:rPr>
          <w:i/>
          <w:iCs/>
        </w:rPr>
        <w:instrText>bg</w:instrText>
      </w:r>
      <w:r>
        <w:instrText xml:space="preserve"> \b \bc\[ (1</w:instrText>
      </w:r>
      <w:r>
        <w:instrText>−</w:instrText>
      </w:r>
      <w:r>
        <w:instrText xml:space="preserve"> \F( \x\to( </w:instrText>
      </w:r>
      <w:r>
        <w:instrText>Θ</w:instrText>
      </w:r>
      <w:r>
        <w:instrText>) (</w:instrText>
      </w:r>
      <w:r>
        <w:rPr>
          <w:i/>
          <w:iCs/>
        </w:rPr>
        <w:instrText>z</w:instrText>
      </w:r>
      <w:r>
        <w:instrText>\s\do6(</w:instrText>
      </w:r>
      <w:r>
        <w:rPr>
          <w:i/>
          <w:iCs/>
          <w:sz w:val="20"/>
          <w:szCs w:val="20"/>
        </w:rPr>
        <w:instrText>c</w:instrText>
      </w:r>
      <w:r>
        <w:instrText>)),</w:instrText>
      </w:r>
      <w:r>
        <w:instrText>Θ</w:instrText>
      </w:r>
      <w:r>
        <w:instrText>\s\do6(</w:instrText>
      </w:r>
      <w:r>
        <w:rPr>
          <w:sz w:val="20"/>
          <w:szCs w:val="20"/>
        </w:rPr>
        <w:instrText>0</w:instrText>
      </w:r>
      <w:r>
        <w:instrText>)))</w:instrText>
      </w:r>
      <w:r>
        <w:fldChar w:fldCharType="end"/>
      </w:r>
      <w:r>
        <w:tab/>
        <w:t>(</w:t>
      </w:r>
      <w:bookmarkStart w:id="53" w:name="BMeq_baro_circ_1"/>
      <w:r>
        <w:t>32</w:t>
      </w:r>
      <w:bookmarkEnd w:id="53"/>
      <w:r>
        <w:t>)</w:t>
      </w:r>
    </w:p>
    <w:p w:rsidR="00000000" w:rsidRDefault="00B4505B">
      <w:pPr>
        <w:ind w:firstLine="360"/>
      </w:pPr>
      <w:r>
        <w:t>This very simple equation is integrated in time in order to determine the adjustment to the halo circulation due to baroclinic generation. As in the case with the halo circulation, we must account for losses due to destruction along the vortex pair symmetr</w:t>
      </w:r>
      <w:r>
        <w:t>y line where baroclinic vorticity from either side of the wake oval diffuses together. We account for the loss via the same attenuation function used in Eq. (</w:t>
      </w:r>
      <w:fldSimple w:instr="REF BMeq_halo_circ \* MERGEFORMAT ">
        <w:r>
          <w:t>23</w:t>
        </w:r>
      </w:fldSimple>
      <w:r>
        <w:t>) and defined in Eq. (</w:t>
      </w:r>
      <w:fldSimple w:instr="REF BMeq_atten_fac \* MERGEFORMAT ">
        <w:r>
          <w:t>24</w:t>
        </w:r>
      </w:fldSimple>
      <w:r>
        <w:t xml:space="preserve">). Accounting for losses along the symmetry line, the above equation integrates to </w:t>
      </w:r>
    </w:p>
    <w:p w:rsidR="00000000" w:rsidRDefault="00B4505B">
      <w:pPr>
        <w:pStyle w:val="equationNum"/>
        <w:tabs>
          <w:tab w:val="center" w:pos="4336"/>
          <w:tab w:val="right" w:pos="8672"/>
        </w:tabs>
      </w:pPr>
      <w:r>
        <w:tab/>
      </w:r>
      <w:r>
        <w:fldChar w:fldCharType="begin"/>
      </w:r>
      <w:r>
        <w:instrText xml:space="preserve"> EQ </w:instrText>
      </w:r>
      <w:r>
        <w:rPr>
          <w:rFonts w:ascii="STIXGeneral" w:hAnsi="STIXGeneral" w:cs="STIXGeneral"/>
        </w:rPr>
        <w:instrText>̃</w:instrText>
      </w:r>
      <w:r>
        <w:instrText>Γ</w:instrText>
      </w:r>
      <w:r>
        <w:instrText>\s\do6(</w:instrText>
      </w:r>
      <w:r>
        <w:rPr>
          <w:i/>
          <w:iCs/>
          <w:sz w:val="20"/>
          <w:szCs w:val="20"/>
        </w:rPr>
        <w:instrText>b</w:instrText>
      </w:r>
      <w:r>
        <w:instrText>)=</w:instrText>
      </w:r>
      <w:r>
        <w:rPr>
          <w:i/>
          <w:iCs/>
        </w:rPr>
        <w:instrText>gF</w:instrText>
      </w:r>
      <w:r>
        <w:instrText>(</w:instrText>
      </w:r>
      <w:r>
        <w:rPr>
          <w:i/>
          <w:iCs/>
        </w:rPr>
        <w:instrText>t</w:instrText>
      </w:r>
      <w:r>
        <w:instrText>) \i (0,</w:instrText>
      </w:r>
      <w:r>
        <w:rPr>
          <w:i/>
          <w:iCs/>
        </w:rPr>
        <w:instrText>t</w:instrText>
      </w:r>
      <w:r>
        <w:instrText>, )</w:instrText>
      </w:r>
      <w:r>
        <w:rPr>
          <w:i/>
          <w:iCs/>
        </w:rPr>
        <w:instrText>b</w:instrText>
      </w:r>
      <w:r>
        <w:instrText xml:space="preserve"> \b \bc\[ (1</w:instrText>
      </w:r>
      <w:r>
        <w:instrText>−</w:instrText>
      </w:r>
      <w:r>
        <w:instrText xml:space="preserve"> \F( \x\to( </w:instrText>
      </w:r>
      <w:r>
        <w:instrText>Θ</w:instrText>
      </w:r>
      <w:r>
        <w:instrText>) (</w:instrText>
      </w:r>
      <w:r>
        <w:rPr>
          <w:i/>
          <w:iCs/>
        </w:rPr>
        <w:instrText>z</w:instrText>
      </w:r>
      <w:r>
        <w:instrText>\s\do6(</w:instrText>
      </w:r>
      <w:r>
        <w:rPr>
          <w:i/>
          <w:iCs/>
          <w:sz w:val="20"/>
          <w:szCs w:val="20"/>
        </w:rPr>
        <w:instrText>c</w:instrText>
      </w:r>
      <w:r>
        <w:instrText>)),</w:instrText>
      </w:r>
      <w:r>
        <w:instrText>Θ</w:instrText>
      </w:r>
      <w:r>
        <w:instrText>\s\do6(</w:instrText>
      </w:r>
      <w:r>
        <w:rPr>
          <w:sz w:val="20"/>
          <w:szCs w:val="20"/>
        </w:rPr>
        <w:instrText>0</w:instrText>
      </w:r>
      <w:r>
        <w:instrText>)))</w:instrText>
      </w:r>
      <w:r>
        <w:fldChar w:fldCharType="end"/>
      </w:r>
    </w:p>
    <w:p w:rsidR="00000000" w:rsidRDefault="00B4505B">
      <w:r>
        <w:t xml:space="preserve">where </w:t>
      </w:r>
      <w:r>
        <w:fldChar w:fldCharType="begin"/>
      </w:r>
      <w:r>
        <w:instrText xml:space="preserve"> EQ </w:instrText>
      </w:r>
      <w:r>
        <w:rPr>
          <w:rFonts w:ascii="STIXGeneral" w:hAnsi="STIXGeneral" w:cs="STIXGeneral"/>
        </w:rPr>
        <w:instrText>̃</w:instrText>
      </w:r>
      <w:r>
        <w:instrText>Γ</w:instrText>
      </w:r>
      <w:r>
        <w:instrText>\s\do6(</w:instrText>
      </w:r>
      <w:r>
        <w:rPr>
          <w:i/>
          <w:iCs/>
          <w:sz w:val="20"/>
          <w:szCs w:val="20"/>
        </w:rPr>
        <w:instrText>b</w:instrText>
      </w:r>
      <w:r>
        <w:instrText>)</w:instrText>
      </w:r>
      <w:r>
        <w:fldChar w:fldCharType="end"/>
      </w:r>
      <w:r>
        <w:t xml:space="preserve"> is the net change in circulation due to baroclinic actio</w:t>
      </w:r>
      <w:r>
        <w:t>n, accounting for losses along the symmetry line.</w:t>
      </w:r>
    </w:p>
    <w:p w:rsidR="00000000" w:rsidRDefault="00B4505B">
      <w:pPr>
        <w:ind w:firstLine="360"/>
      </w:pPr>
      <w:r>
        <w:t xml:space="preserve">The only remaining detail is to partition the baroclinic circulation adjustment among the three halo vortices. Since the baroclinic generation source term is maximized along the </w:t>
      </w:r>
      <w:r>
        <w:rPr>
          <w:i/>
          <w:iCs/>
        </w:rPr>
        <w:t>y</w:t>
      </w:r>
      <w:r>
        <w:t xml:space="preserve"> axis, one would expect tha</w:t>
      </w:r>
      <w:r>
        <w:t>t the partition fraction for halo vortex 2 should be the largest. This was indeed found to be the case when a tuning exercise was performed using the Frankfurt 2004 aircraft landing data. Unlike the diffused vorticity halo vortex circulation partitions, th</w:t>
      </w:r>
      <w:r>
        <w:t xml:space="preserve">e baroclinic fractions do not appear to require a time dependence. Thus the following static adjustments to the halo vortex circulations are currently in use </w:t>
      </w:r>
    </w:p>
    <w:p w:rsidR="00000000" w:rsidRDefault="00B4505B">
      <w:pPr>
        <w:pStyle w:val="equationNum"/>
        <w:tabs>
          <w:tab w:val="center" w:pos="4336"/>
          <w:tab w:val="right" w:pos="8672"/>
        </w:tabs>
      </w:pPr>
      <w:r>
        <w:tab/>
      </w:r>
      <w:r>
        <w:fldChar w:fldCharType="begin"/>
      </w:r>
      <w:r>
        <w:instrText xml:space="preserve"> EQ  \a \ac \co4 (</w:instrText>
      </w:r>
      <w:r>
        <w:instrText>Γ</w:instrText>
      </w:r>
      <w:r>
        <w:instrText>\s\do6(</w:instrText>
      </w:r>
      <w:r>
        <w:rPr>
          <w:sz w:val="20"/>
          <w:szCs w:val="20"/>
        </w:rPr>
        <w:instrText>1</w:instrText>
      </w:r>
      <w:r>
        <w:instrText>),=,</w:instrText>
      </w:r>
      <w:r>
        <w:rPr>
          <w:i/>
          <w:iCs/>
        </w:rPr>
        <w:instrText>f</w:instrText>
      </w:r>
      <w:r>
        <w:instrText>\s\do6(</w:instrText>
      </w:r>
      <w:r>
        <w:rPr>
          <w:sz w:val="20"/>
          <w:szCs w:val="20"/>
        </w:rPr>
        <w:instrText>1</w:instrText>
      </w:r>
      <w:r>
        <w:instrText>)</w:instrText>
      </w:r>
      <w:r>
        <w:instrText>Γ</w:instrText>
      </w:r>
      <w:r>
        <w:instrText>\s\do6(</w:instrText>
      </w:r>
      <w:r>
        <w:rPr>
          <w:i/>
          <w:iCs/>
          <w:sz w:val="20"/>
          <w:szCs w:val="20"/>
        </w:rPr>
        <w:instrText>h</w:instrText>
      </w:r>
      <w:r>
        <w:instrText>)+</w:instrText>
      </w:r>
      <w:r>
        <w:rPr>
          <w:i/>
          <w:iCs/>
        </w:rPr>
        <w:instrText>f</w:instrText>
      </w:r>
      <w:r>
        <w:instrText>\s\do6(</w:instrText>
      </w:r>
      <w:r>
        <w:rPr>
          <w:i/>
          <w:iCs/>
          <w:sz w:val="20"/>
          <w:szCs w:val="20"/>
        </w:rPr>
        <w:instrText>b</w:instrText>
      </w:r>
      <w:r>
        <w:rPr>
          <w:sz w:val="20"/>
          <w:szCs w:val="20"/>
        </w:rPr>
        <w:instrText>1</w:instrText>
      </w:r>
      <w:r>
        <w:instrText>)</w:instrText>
      </w:r>
      <w:r>
        <w:rPr>
          <w:rFonts w:ascii="STIXGeneral" w:hAnsi="STIXGeneral" w:cs="STIXGeneral"/>
        </w:rPr>
        <w:instrText>̃</w:instrText>
      </w:r>
      <w:r>
        <w:instrText>Γ</w:instrText>
      </w:r>
      <w:r>
        <w:instrText>\s\do6(</w:instrText>
      </w:r>
      <w:r>
        <w:rPr>
          <w:i/>
          <w:iCs/>
          <w:sz w:val="20"/>
          <w:szCs w:val="20"/>
        </w:rPr>
        <w:instrText>b</w:instrText>
      </w:r>
      <w:r>
        <w:instrText>),</w:instrText>
      </w:r>
      <w:r>
        <w:rPr>
          <w:i/>
          <w:iCs/>
        </w:rPr>
        <w:instrText>f</w:instrText>
      </w:r>
      <w:r>
        <w:instrText>\s\do6(</w:instrText>
      </w:r>
      <w:r>
        <w:rPr>
          <w:i/>
          <w:iCs/>
          <w:sz w:val="20"/>
          <w:szCs w:val="20"/>
        </w:rPr>
        <w:instrText>b</w:instrText>
      </w:r>
      <w:r>
        <w:rPr>
          <w:sz w:val="20"/>
          <w:szCs w:val="20"/>
        </w:rPr>
        <w:instrText>1</w:instrText>
      </w:r>
      <w:r>
        <w:instrText>)=0.20,</w:instrText>
      </w:r>
      <w:r>
        <w:instrText>Γ</w:instrText>
      </w:r>
      <w:r>
        <w:instrText>\s\</w:instrText>
      </w:r>
      <w:r>
        <w:instrText>do6(</w:instrText>
      </w:r>
      <w:r>
        <w:rPr>
          <w:sz w:val="20"/>
          <w:szCs w:val="20"/>
        </w:rPr>
        <w:instrText>2</w:instrText>
      </w:r>
      <w:r>
        <w:instrText>),=,</w:instrText>
      </w:r>
      <w:r>
        <w:rPr>
          <w:i/>
          <w:iCs/>
        </w:rPr>
        <w:instrText>f</w:instrText>
      </w:r>
      <w:r>
        <w:instrText>\s\do6(</w:instrText>
      </w:r>
      <w:r>
        <w:rPr>
          <w:sz w:val="20"/>
          <w:szCs w:val="20"/>
        </w:rPr>
        <w:instrText>2</w:instrText>
      </w:r>
      <w:r>
        <w:instrText>)</w:instrText>
      </w:r>
      <w:r>
        <w:instrText>Γ</w:instrText>
      </w:r>
      <w:r>
        <w:instrText>\s\do6(</w:instrText>
      </w:r>
      <w:r>
        <w:rPr>
          <w:i/>
          <w:iCs/>
          <w:sz w:val="20"/>
          <w:szCs w:val="20"/>
        </w:rPr>
        <w:instrText>h</w:instrText>
      </w:r>
      <w:r>
        <w:instrText>)+</w:instrText>
      </w:r>
      <w:r>
        <w:rPr>
          <w:i/>
          <w:iCs/>
        </w:rPr>
        <w:instrText>f</w:instrText>
      </w:r>
      <w:r>
        <w:instrText>\s\do6(</w:instrText>
      </w:r>
      <w:r>
        <w:rPr>
          <w:i/>
          <w:iCs/>
          <w:sz w:val="20"/>
          <w:szCs w:val="20"/>
        </w:rPr>
        <w:instrText>b</w:instrText>
      </w:r>
      <w:r>
        <w:rPr>
          <w:sz w:val="20"/>
          <w:szCs w:val="20"/>
        </w:rPr>
        <w:instrText>2</w:instrText>
      </w:r>
      <w:r>
        <w:instrText>)</w:instrText>
      </w:r>
      <w:r>
        <w:rPr>
          <w:rFonts w:ascii="STIXGeneral" w:hAnsi="STIXGeneral" w:cs="STIXGeneral"/>
        </w:rPr>
        <w:instrText>̃</w:instrText>
      </w:r>
      <w:r>
        <w:instrText>Γ</w:instrText>
      </w:r>
      <w:r>
        <w:instrText>\s\do6(</w:instrText>
      </w:r>
      <w:r>
        <w:rPr>
          <w:i/>
          <w:iCs/>
          <w:sz w:val="20"/>
          <w:szCs w:val="20"/>
        </w:rPr>
        <w:instrText>b</w:instrText>
      </w:r>
      <w:r>
        <w:instrText>),</w:instrText>
      </w:r>
      <w:r>
        <w:rPr>
          <w:i/>
          <w:iCs/>
        </w:rPr>
        <w:instrText>f</w:instrText>
      </w:r>
      <w:r>
        <w:instrText>\s\do6(</w:instrText>
      </w:r>
      <w:r>
        <w:rPr>
          <w:i/>
          <w:iCs/>
          <w:sz w:val="20"/>
          <w:szCs w:val="20"/>
        </w:rPr>
        <w:instrText>b</w:instrText>
      </w:r>
      <w:r>
        <w:rPr>
          <w:sz w:val="20"/>
          <w:szCs w:val="20"/>
        </w:rPr>
        <w:instrText>1</w:instrText>
      </w:r>
      <w:r>
        <w:instrText>)=0.65,</w:instrText>
      </w:r>
      <w:r>
        <w:instrText>Γ</w:instrText>
      </w:r>
      <w:r>
        <w:instrText>\s\do6(</w:instrText>
      </w:r>
      <w:r>
        <w:rPr>
          <w:sz w:val="20"/>
          <w:szCs w:val="20"/>
        </w:rPr>
        <w:instrText>3</w:instrText>
      </w:r>
      <w:r>
        <w:instrText>),=,(1</w:instrText>
      </w:r>
      <w:r>
        <w:instrText>−</w:instrText>
      </w:r>
      <w:r>
        <w:rPr>
          <w:i/>
          <w:iCs/>
        </w:rPr>
        <w:instrText>f</w:instrText>
      </w:r>
      <w:r>
        <w:instrText>\s\do6(</w:instrText>
      </w:r>
      <w:r>
        <w:rPr>
          <w:sz w:val="20"/>
          <w:szCs w:val="20"/>
        </w:rPr>
        <w:instrText>1</w:instrText>
      </w:r>
      <w:r>
        <w:instrText>)</w:instrText>
      </w:r>
      <w:r>
        <w:instrText>−</w:instrText>
      </w:r>
      <w:r>
        <w:rPr>
          <w:i/>
          <w:iCs/>
        </w:rPr>
        <w:instrText>f</w:instrText>
      </w:r>
      <w:r>
        <w:instrText>\s\do6(</w:instrText>
      </w:r>
      <w:r>
        <w:rPr>
          <w:sz w:val="20"/>
          <w:szCs w:val="20"/>
        </w:rPr>
        <w:instrText>2</w:instrText>
      </w:r>
      <w:r>
        <w:instrText>))</w:instrText>
      </w:r>
      <w:r>
        <w:instrText>Γ</w:instrText>
      </w:r>
      <w:r>
        <w:instrText>\s\do6(</w:instrText>
      </w:r>
      <w:r>
        <w:rPr>
          <w:i/>
          <w:iCs/>
          <w:sz w:val="20"/>
          <w:szCs w:val="20"/>
        </w:rPr>
        <w:instrText>h</w:instrText>
      </w:r>
      <w:r>
        <w:instrText>)+(1</w:instrText>
      </w:r>
      <w:r>
        <w:instrText>−</w:instrText>
      </w:r>
      <w:r>
        <w:rPr>
          <w:i/>
          <w:iCs/>
        </w:rPr>
        <w:instrText>f</w:instrText>
      </w:r>
      <w:r>
        <w:instrText>\s\do6(</w:instrText>
      </w:r>
      <w:r>
        <w:rPr>
          <w:i/>
          <w:iCs/>
          <w:sz w:val="20"/>
          <w:szCs w:val="20"/>
        </w:rPr>
        <w:instrText>b</w:instrText>
      </w:r>
      <w:r>
        <w:rPr>
          <w:sz w:val="20"/>
          <w:szCs w:val="20"/>
        </w:rPr>
        <w:instrText>1</w:instrText>
      </w:r>
      <w:r>
        <w:instrText>)</w:instrText>
      </w:r>
      <w:r>
        <w:instrText>−</w:instrText>
      </w:r>
      <w:r>
        <w:rPr>
          <w:i/>
          <w:iCs/>
        </w:rPr>
        <w:instrText>f</w:instrText>
      </w:r>
      <w:r>
        <w:instrText>\s\do6(</w:instrText>
      </w:r>
      <w:r>
        <w:rPr>
          <w:i/>
          <w:iCs/>
          <w:sz w:val="20"/>
          <w:szCs w:val="20"/>
        </w:rPr>
        <w:instrText>b</w:instrText>
      </w:r>
      <w:r>
        <w:rPr>
          <w:sz w:val="20"/>
          <w:szCs w:val="20"/>
        </w:rPr>
        <w:instrText>2</w:instrText>
      </w:r>
      <w:r>
        <w:instrText>))</w:instrText>
      </w:r>
      <w:r>
        <w:rPr>
          <w:rFonts w:ascii="STIXGeneral" w:hAnsi="STIXGeneral" w:cs="STIXGeneral"/>
        </w:rPr>
        <w:instrText>̃</w:instrText>
      </w:r>
      <w:r>
        <w:instrText>Γ</w:instrText>
      </w:r>
      <w:r>
        <w:instrText>\s\do6(</w:instrText>
      </w:r>
      <w:r>
        <w:rPr>
          <w:i/>
          <w:iCs/>
          <w:sz w:val="20"/>
          <w:szCs w:val="20"/>
        </w:rPr>
        <w:instrText>b</w:instrText>
      </w:r>
      <w:r>
        <w:instrText>),)</w:instrText>
      </w:r>
      <w:r>
        <w:fldChar w:fldCharType="end"/>
      </w:r>
    </w:p>
    <w:p w:rsidR="00000000" w:rsidRDefault="00B4505B">
      <w:pPr>
        <w:ind w:firstLine="360"/>
      </w:pPr>
      <w:r>
        <w:lastRenderedPageBreak/>
        <w:t>Aside from the baroclinic generation effect, stable stratification also affects the primary vortex decay rate. This effect was parameterized from the aircraft landing data via the following simple correction involving the local non-dimensional buoyancy fre</w:t>
      </w:r>
      <w:r>
        <w:t xml:space="preserve">quency, </w:t>
      </w:r>
      <w:r>
        <w:fldChar w:fldCharType="begin"/>
      </w:r>
      <w:r>
        <w:instrText xml:space="preserve"> EQ </w:instrText>
      </w:r>
      <w:r>
        <w:rPr>
          <w:i/>
          <w:iCs/>
        </w:rPr>
        <w:instrText>N</w:instrText>
      </w:r>
      <w:r>
        <w:instrText>\s\up6(</w:instrText>
      </w:r>
      <w:r>
        <w:rPr>
          <w:sz w:val="20"/>
          <w:szCs w:val="20"/>
        </w:rPr>
        <w:instrText>*</w:instrText>
      </w:r>
      <w:r>
        <w:instrText>)\s\up6(</w:instrText>
      </w:r>
      <w:r>
        <w:rPr>
          <w:sz w:val="20"/>
          <w:szCs w:val="20"/>
        </w:rPr>
        <w:instrText>2</w:instrText>
      </w:r>
      <w:r>
        <w:instrText>)=(</w:instrText>
      </w:r>
      <w:r>
        <w:rPr>
          <w:i/>
          <w:iCs/>
        </w:rPr>
        <w:instrText>b</w:instrText>
      </w:r>
      <w:r>
        <w:instrText>\s\do6(</w:instrText>
      </w:r>
      <w:r>
        <w:rPr>
          <w:sz w:val="20"/>
          <w:szCs w:val="20"/>
        </w:rPr>
        <w:instrText>0</w:instrText>
      </w:r>
      <w:r>
        <w:instrText>)/</w:instrText>
      </w:r>
      <w:r>
        <w:rPr>
          <w:i/>
          <w:iCs/>
        </w:rPr>
        <w:instrText>w</w:instrText>
      </w:r>
      <w:r>
        <w:instrText>\s\do6(</w:instrText>
      </w:r>
      <w:r>
        <w:rPr>
          <w:sz w:val="20"/>
          <w:szCs w:val="20"/>
        </w:rPr>
        <w:instrText>0</w:instrText>
      </w:r>
      <w:r>
        <w:instrText>))\s\up6(</w:instrText>
      </w:r>
      <w:r>
        <w:rPr>
          <w:sz w:val="20"/>
          <w:szCs w:val="20"/>
        </w:rPr>
        <w:instrText>2</w:instrText>
      </w:r>
      <w:r>
        <w:instrText>)(</w:instrText>
      </w:r>
      <w:r>
        <w:rPr>
          <w:i/>
          <w:iCs/>
        </w:rPr>
        <w:instrText>g</w:instrText>
      </w:r>
      <w:r>
        <w:instrText>/</w:instrText>
      </w:r>
      <w:r>
        <w:instrText>Θ</w:instrText>
      </w:r>
      <w:r>
        <w:instrText>\s\do6(</w:instrText>
      </w:r>
      <w:r>
        <w:rPr>
          <w:sz w:val="20"/>
          <w:szCs w:val="20"/>
        </w:rPr>
        <w:instrText>0</w:instrText>
      </w:r>
      <w:r>
        <w:instrText>))</w:instrText>
      </w:r>
      <w:r>
        <w:rPr>
          <w:i/>
          <w:iCs/>
        </w:rPr>
        <w:instrText>d</w:instrText>
      </w:r>
      <w:r>
        <w:instrText xml:space="preserve"> \x\to( </w:instrText>
      </w:r>
      <w:r>
        <w:instrText>Θ</w:instrText>
      </w:r>
      <w:r>
        <w:instrText>) /</w:instrText>
      </w:r>
      <w:r>
        <w:rPr>
          <w:i/>
          <w:iCs/>
        </w:rPr>
        <w:instrText>dz</w:instrText>
      </w:r>
      <w:r>
        <w:fldChar w:fldCharType="end"/>
      </w:r>
      <w:r>
        <w:t xml:space="preserve">. </w:t>
      </w:r>
    </w:p>
    <w:p w:rsidR="00000000" w:rsidRDefault="00B4505B">
      <w:pPr>
        <w:pStyle w:val="equationNum"/>
        <w:tabs>
          <w:tab w:val="center" w:pos="4336"/>
          <w:tab w:val="right" w:pos="8672"/>
        </w:tabs>
      </w:pPr>
      <w:r>
        <w:tab/>
      </w:r>
      <w:r>
        <w:fldChar w:fldCharType="begin"/>
      </w:r>
      <w:r>
        <w:instrText xml:space="preserve"> EQ </w:instrText>
      </w:r>
      <w:r>
        <w:instrText>τ</w:instrText>
      </w:r>
      <w:r>
        <w:instrText>\s\up6(</w:instrText>
      </w:r>
      <w:r>
        <w:rPr>
          <w:sz w:val="20"/>
          <w:szCs w:val="20"/>
        </w:rPr>
        <w:instrText>*</w:instrText>
      </w:r>
      <w:r>
        <w:instrText>)=max[(10</w:instrText>
      </w:r>
      <w:r>
        <w:instrText>−</w:instrText>
      </w:r>
      <w:r>
        <w:instrText>50</w:instrText>
      </w:r>
      <w:r>
        <w:instrText>ε</w:instrText>
      </w:r>
      <w:r>
        <w:instrText>\s\up6(</w:instrText>
      </w:r>
      <w:r>
        <w:rPr>
          <w:sz w:val="20"/>
          <w:szCs w:val="20"/>
        </w:rPr>
        <w:instrText>*</w:instrText>
      </w:r>
      <w:r>
        <w:instrText>))\,7.0]+2.0</w:instrText>
      </w:r>
      <w:r>
        <w:rPr>
          <w:i/>
          <w:iCs/>
        </w:rPr>
        <w:instrText>N</w:instrText>
      </w:r>
      <w:r>
        <w:instrText>\s\up6(</w:instrText>
      </w:r>
      <w:r>
        <w:rPr>
          <w:sz w:val="20"/>
          <w:szCs w:val="20"/>
        </w:rPr>
        <w:instrText>*</w:instrText>
      </w:r>
      <w:r>
        <w:instrText>)\s\up6(</w:instrText>
      </w:r>
      <w:r>
        <w:rPr>
          <w:sz w:val="20"/>
          <w:szCs w:val="20"/>
        </w:rPr>
        <w:instrText>2</w:instrText>
      </w:r>
      <w:r>
        <w:instrText>)</w:instrText>
      </w:r>
      <w:r>
        <w:fldChar w:fldCharType="end"/>
      </w:r>
      <w:r>
        <w:tab/>
        <w:t>(</w:t>
      </w:r>
      <w:bookmarkStart w:id="54" w:name="BMeq_tau_turb_strat"/>
      <w:r>
        <w:t>33</w:t>
      </w:r>
      <w:bookmarkEnd w:id="54"/>
      <w:r>
        <w:t>)</w:t>
      </w:r>
    </w:p>
    <w:p w:rsidR="00000000" w:rsidRDefault="00B4505B">
      <w:pPr>
        <w:pStyle w:val="Figure"/>
        <w:spacing w:before="240"/>
        <w:ind w:firstLine="360"/>
        <w:rPr>
          <w:sz w:val="24"/>
          <w:szCs w:val="24"/>
        </w:rPr>
      </w:pPr>
    </w:p>
    <w:p w:rsidR="00000000" w:rsidRDefault="00B4505B">
      <w:pPr>
        <w:pStyle w:val="centerpar"/>
        <w:ind w:firstLine="360"/>
      </w:pPr>
      <w:r>
        <w:drawing>
          <wp:inline distT="0" distB="0" distL="0" distR="0">
            <wp:extent cx="4114800" cy="28829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srcRect/>
                    <a:stretch>
                      <a:fillRect/>
                    </a:stretch>
                  </pic:blipFill>
                  <pic:spPr bwMode="auto">
                    <a:xfrm>
                      <a:off x="0" y="0"/>
                      <a:ext cx="4114800" cy="2882900"/>
                    </a:xfrm>
                    <a:prstGeom prst="rect">
                      <a:avLst/>
                    </a:prstGeom>
                    <a:noFill/>
                    <a:ln w="9525">
                      <a:noFill/>
                      <a:miter lim="800000"/>
                      <a:headEnd/>
                      <a:tailEnd/>
                    </a:ln>
                  </pic:spPr>
                </pic:pic>
              </a:graphicData>
            </a:graphic>
          </wp:inline>
        </w:drawing>
      </w:r>
      <w:r>
        <w:t xml:space="preserve"> </w:t>
      </w:r>
    </w:p>
    <w:p w:rsidR="00000000" w:rsidRDefault="00B4505B">
      <w:pPr>
        <w:pStyle w:val="centerpar"/>
        <w:ind w:firstLine="360"/>
      </w:pPr>
      <w:r>
        <w:drawing>
          <wp:inline distT="0" distB="0" distL="0" distR="0">
            <wp:extent cx="4114800" cy="28829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4114800" cy="2882900"/>
                    </a:xfrm>
                    <a:prstGeom prst="rect">
                      <a:avLst/>
                    </a:prstGeom>
                    <a:noFill/>
                    <a:ln w="9525">
                      <a:noFill/>
                      <a:miter lim="800000"/>
                      <a:headEnd/>
                      <a:tailEnd/>
                    </a:ln>
                  </pic:spPr>
                </pic:pic>
              </a:graphicData>
            </a:graphic>
          </wp:inline>
        </w:drawing>
      </w:r>
    </w:p>
    <w:p w:rsidR="00000000" w:rsidRDefault="00B4505B">
      <w:pPr>
        <w:pStyle w:val="Caption"/>
      </w:pPr>
      <w:r>
        <w:t xml:space="preserve">Figure </w:t>
      </w:r>
      <w:bookmarkStart w:id="55" w:name="BMfig_med_strat_case"/>
      <w:r>
        <w:t>21</w:t>
      </w:r>
      <w:bookmarkEnd w:id="55"/>
      <w:r>
        <w:t>: Comparison of the model prediction against the moderate stable stratification landing data.</w:t>
      </w:r>
      <w:r>
        <w:fldChar w:fldCharType="begin"/>
      </w:r>
      <w:r>
        <w:instrText>TC "21 Comparison of the model prediction against the moderate stable stratification</w:instrText>
      </w:r>
      <w:r>
        <w:instrText xml:space="preserve"> landing data." \f f</w:instrText>
      </w:r>
      <w:r>
        <w:fldChar w:fldCharType="end"/>
      </w:r>
    </w:p>
    <w:p w:rsidR="00000000" w:rsidRDefault="00B4505B">
      <w:pPr>
        <w:pStyle w:val="Figure"/>
        <w:spacing w:before="480"/>
        <w:ind w:firstLine="360"/>
        <w:rPr>
          <w:sz w:val="24"/>
          <w:szCs w:val="24"/>
        </w:rPr>
      </w:pPr>
    </w:p>
    <w:p w:rsidR="00000000" w:rsidRDefault="00B4505B">
      <w:pPr>
        <w:pStyle w:val="centerpar"/>
        <w:ind w:firstLine="360"/>
      </w:pPr>
      <w:r>
        <w:lastRenderedPageBreak/>
        <w:drawing>
          <wp:inline distT="0" distB="0" distL="0" distR="0">
            <wp:extent cx="4114800" cy="28829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srcRect/>
                    <a:stretch>
                      <a:fillRect/>
                    </a:stretch>
                  </pic:blipFill>
                  <pic:spPr bwMode="auto">
                    <a:xfrm>
                      <a:off x="0" y="0"/>
                      <a:ext cx="4114800" cy="2882900"/>
                    </a:xfrm>
                    <a:prstGeom prst="rect">
                      <a:avLst/>
                    </a:prstGeom>
                    <a:noFill/>
                    <a:ln w="9525">
                      <a:noFill/>
                      <a:miter lim="800000"/>
                      <a:headEnd/>
                      <a:tailEnd/>
                    </a:ln>
                  </pic:spPr>
                </pic:pic>
              </a:graphicData>
            </a:graphic>
          </wp:inline>
        </w:drawing>
      </w:r>
      <w:r>
        <w:t xml:space="preserve"> </w:t>
      </w:r>
    </w:p>
    <w:p w:rsidR="00000000" w:rsidRDefault="00B4505B">
      <w:pPr>
        <w:pStyle w:val="centerpar"/>
        <w:ind w:firstLine="360"/>
      </w:pPr>
      <w:r>
        <w:drawing>
          <wp:inline distT="0" distB="0" distL="0" distR="0">
            <wp:extent cx="4114800" cy="28829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srcRect/>
                    <a:stretch>
                      <a:fillRect/>
                    </a:stretch>
                  </pic:blipFill>
                  <pic:spPr bwMode="auto">
                    <a:xfrm>
                      <a:off x="0" y="0"/>
                      <a:ext cx="4114800" cy="2882900"/>
                    </a:xfrm>
                    <a:prstGeom prst="rect">
                      <a:avLst/>
                    </a:prstGeom>
                    <a:noFill/>
                    <a:ln w="9525">
                      <a:noFill/>
                      <a:miter lim="800000"/>
                      <a:headEnd/>
                      <a:tailEnd/>
                    </a:ln>
                  </pic:spPr>
                </pic:pic>
              </a:graphicData>
            </a:graphic>
          </wp:inline>
        </w:drawing>
      </w:r>
    </w:p>
    <w:p w:rsidR="00000000" w:rsidRDefault="00B4505B">
      <w:pPr>
        <w:pStyle w:val="Caption"/>
      </w:pPr>
      <w:r>
        <w:t xml:space="preserve">Figure </w:t>
      </w:r>
      <w:bookmarkStart w:id="56" w:name="BMfig_high_strat_case"/>
      <w:r>
        <w:t>22</w:t>
      </w:r>
      <w:bookmarkEnd w:id="56"/>
      <w:r>
        <w:t>: Comparison of the model prediction against the high stable stratification landing data.</w:t>
      </w:r>
      <w:r>
        <w:fldChar w:fldCharType="begin"/>
      </w:r>
      <w:r>
        <w:instrText xml:space="preserve">TC "22 Comparison </w:instrText>
      </w:r>
      <w:r>
        <w:instrText>of the model prediction against the high stable stratification landing data." \f f</w:instrText>
      </w:r>
      <w:r>
        <w:fldChar w:fldCharType="end"/>
      </w:r>
    </w:p>
    <w:p w:rsidR="00000000" w:rsidRDefault="00B4505B">
      <w:pPr>
        <w:spacing w:before="240"/>
        <w:ind w:firstLine="360"/>
      </w:pPr>
      <w:r>
        <w:t xml:space="preserve">The success of the stable stratification treatment is demonstrated in Figures </w:t>
      </w:r>
      <w:fldSimple w:instr="REF BMfig_med_strat_case \* MERGEFORMAT ">
        <w:r>
          <w:t>21</w:t>
        </w:r>
      </w:fldSimple>
      <w:r>
        <w:t xml:space="preserve"> and </w:t>
      </w:r>
      <w:fldSimple w:instr="REF BMfig_high_strat_case \* MERGEFORMAT ">
        <w:r>
          <w:t>22</w:t>
        </w:r>
      </w:fldSimple>
      <w:r>
        <w:t xml:space="preserve"> for moderate and high stable stratification cases respectively.</w:t>
      </w:r>
    </w:p>
    <w:p w:rsidR="00000000" w:rsidRDefault="00B4505B">
      <w:pPr>
        <w:pStyle w:val="Heading3"/>
        <w:widowControl/>
        <w:spacing w:before="120"/>
      </w:pPr>
      <w:r>
        <w:t>5.8  Incorporating the Effects of Crosswind Shear Gradients</w:t>
      </w:r>
    </w:p>
    <w:p w:rsidR="00000000" w:rsidRDefault="00B4505B">
      <w:pPr>
        <w:spacing w:before="60"/>
      </w:pPr>
      <w:r>
        <w:t>Variable crosswinds can have a profound impact of the evolution of the aircraft vortex wake system. At the simplest level, cross</w:t>
      </w:r>
      <w:r>
        <w:t>winds advect the vortices laterally and this effect can easily displace them by a few kilometers before they dissipate. The advection effect is easy to model as it simply translates the vortex system at the local crosswind speed. In addition to the advecti</w:t>
      </w:r>
      <w:r>
        <w:t xml:space="preserve">on effect, variations in the crosswind with altitude induce additional effects that are much more difficult to model. A linear change in the crosswind with altitude produces a wind shear that skews the halo vorticity trailing above the current position of </w:t>
      </w:r>
      <w:r>
        <w:t xml:space="preserve">the wake system. This skewing produces a small asymmetry to the induction </w:t>
      </w:r>
      <w:r>
        <w:lastRenderedPageBreak/>
        <w:t>caused by the halo and results in a small tilting of the primary vortices. A numerical simulation of a linear crosswind profile was performed and analyzed, but the net effects on the</w:t>
      </w:r>
      <w:r>
        <w:t xml:space="preserve"> primary vortex system were found to be sufficiently small that they did not warrant specific changes to the model. This is especially true in light of the much stronger effects produced by non-linear crosswind profiles which will be discussed next.</w:t>
      </w:r>
    </w:p>
    <w:p w:rsidR="00000000" w:rsidRDefault="00B4505B">
      <w:pPr>
        <w:ind w:firstLine="360"/>
      </w:pPr>
      <w:r>
        <w:t>Non-li</w:t>
      </w:r>
      <w:r>
        <w:t xml:space="preserve">near variations in the crosswind with altitude can produce significant changes to the evolution of the vortex system. As discussed in more detail below, non-linear variations in the crosswind imply a variable background vorticity field that interacts with </w:t>
      </w:r>
      <w:r>
        <w:t xml:space="preserve">the vortex wake system. To see this, note that the component of vorticity of interest is </w:t>
      </w:r>
      <w:r>
        <w:fldChar w:fldCharType="begin"/>
      </w:r>
      <w:r>
        <w:instrText xml:space="preserve"> EQ </w:instrText>
      </w:r>
      <w:r>
        <w:instrText>ω</w:instrText>
      </w:r>
      <w:r>
        <w:instrText>\s\do6(</w:instrText>
      </w:r>
      <w:r>
        <w:rPr>
          <w:i/>
          <w:iCs/>
          <w:sz w:val="20"/>
          <w:szCs w:val="20"/>
        </w:rPr>
        <w:instrText>x</w:instrText>
      </w:r>
      <w:r>
        <w:instrText>)=</w:instrText>
      </w:r>
      <w:r>
        <w:instrText>∂</w:instrText>
      </w:r>
      <w:r>
        <w:rPr>
          <w:i/>
          <w:iCs/>
        </w:rPr>
        <w:instrText>w</w:instrText>
      </w:r>
      <w:r>
        <w:instrText>/</w:instrText>
      </w:r>
      <w:r>
        <w:instrText>∂</w:instrText>
      </w:r>
      <w:r>
        <w:rPr>
          <w:i/>
          <w:iCs/>
        </w:rPr>
        <w:instrText>y</w:instrText>
      </w:r>
      <w:r>
        <w:instrText>−∂</w:instrText>
      </w:r>
      <w:r>
        <w:rPr>
          <w:i/>
          <w:iCs/>
        </w:rPr>
        <w:instrText>v</w:instrText>
      </w:r>
      <w:r>
        <w:instrText>/</w:instrText>
      </w:r>
      <w:r>
        <w:instrText>∂</w:instrText>
      </w:r>
      <w:r>
        <w:rPr>
          <w:i/>
          <w:iCs/>
        </w:rPr>
        <w:instrText>z</w:instrText>
      </w:r>
      <w:r>
        <w:rPr>
          <w:rFonts w:ascii="Cambria Math" w:hAnsi="Cambria Math" w:cs="Cambria Math"/>
        </w:rPr>
        <w:instrText>≃</w:instrText>
      </w:r>
      <w:r>
        <w:instrText>−∂</w:instrText>
      </w:r>
      <w:r>
        <w:rPr>
          <w:i/>
          <w:iCs/>
        </w:rPr>
        <w:instrText>v</w:instrText>
      </w:r>
      <w:r>
        <w:instrText>/</w:instrText>
      </w:r>
      <w:r>
        <w:instrText>∂</w:instrText>
      </w:r>
      <w:r>
        <w:rPr>
          <w:i/>
          <w:iCs/>
        </w:rPr>
        <w:instrText>z</w:instrText>
      </w:r>
      <w:r>
        <w:fldChar w:fldCharType="end"/>
      </w:r>
      <w:r>
        <w:t>, where the latter near equality is due to the fact that the (time averaged) vertical component of wind is typically much smaller than the crosswind component. Since the vorticity is nearly equal to the vertical derivative of the crosswind, we see that a l</w:t>
      </w:r>
      <w:r>
        <w:t>inear crosswind profile results in a constant background vorticity field. A uniform background vorticity field will have no net effect on the wake vortex system other than the skewing of the trailing vorticity as discussed above. The definition of vorticit</w:t>
      </w:r>
      <w:r>
        <w:t>y also tells us that crosswind profiles having quadratic and higher order variations will result in variable background vorticity fields. A variable background vorticity field can interact with the vortex wake system since the primary vortices induce stron</w:t>
      </w:r>
      <w:r>
        <w:t xml:space="preserve">g vertical motions which redistribute the background. This interaction produces a gain in circulation on one side of the vortex system and a reduction in circulation on the other. This imbalance introduces an asymmetry that results in a pronounced tilting </w:t>
      </w:r>
      <w:r>
        <w:t>of the vortex system. A pronounced tilt in conjunction with the ongoing asymmetric interaction with the background vorticity field can produce additional, surprising effects such as pronounced separation of the primary vortices and even a "rebound" where o</w:t>
      </w:r>
      <w:r>
        <w:t>ne or both of the vortices reverses its vertical motion and rises with time. While these strongly non-linear effects are notoriously difficult to model, we have found a fairly straightforward way to incorporate them by introducing the correct type of asymm</w:t>
      </w:r>
      <w:r>
        <w:t>etry to the halo vortex system. As before, we use numerical simulation data as a basis for constructing the quadratically variable crosswind component of the model.</w:t>
      </w:r>
    </w:p>
    <w:p w:rsidR="00000000" w:rsidRDefault="00B4505B">
      <w:pPr>
        <w:pStyle w:val="Figure"/>
        <w:spacing w:before="240"/>
        <w:ind w:firstLine="360"/>
        <w:rPr>
          <w:sz w:val="24"/>
          <w:szCs w:val="24"/>
        </w:rPr>
      </w:pPr>
    </w:p>
    <w:p w:rsidR="00000000" w:rsidRDefault="00B4505B">
      <w:pPr>
        <w:pStyle w:val="centerpar"/>
        <w:ind w:firstLine="360"/>
      </w:pPr>
      <w:r>
        <w:lastRenderedPageBreak/>
        <w:drawing>
          <wp:inline distT="0" distB="0" distL="0" distR="0">
            <wp:extent cx="2755900" cy="2019300"/>
            <wp:effectExtent l="1905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srcRect/>
                    <a:stretch>
                      <a:fillRect/>
                    </a:stretch>
                  </pic:blipFill>
                  <pic:spPr bwMode="auto">
                    <a:xfrm>
                      <a:off x="0" y="0"/>
                      <a:ext cx="2755900" cy="2019300"/>
                    </a:xfrm>
                    <a:prstGeom prst="rect">
                      <a:avLst/>
                    </a:prstGeom>
                    <a:noFill/>
                    <a:ln w="9525">
                      <a:noFill/>
                      <a:miter lim="800000"/>
                      <a:headEnd/>
                      <a:tailEnd/>
                    </a:ln>
                  </pic:spPr>
                </pic:pic>
              </a:graphicData>
            </a:graphic>
          </wp:inline>
        </w:drawing>
      </w:r>
      <w:r>
        <w:t xml:space="preserve"> </w:t>
      </w:r>
      <w:r>
        <w:drawing>
          <wp:inline distT="0" distB="0" distL="0" distR="0">
            <wp:extent cx="2755900" cy="2019300"/>
            <wp:effectExtent l="1905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2755900" cy="2019300"/>
                    </a:xfrm>
                    <a:prstGeom prst="rect">
                      <a:avLst/>
                    </a:prstGeom>
                    <a:noFill/>
                    <a:ln w="9525">
                      <a:noFill/>
                      <a:miter lim="800000"/>
                      <a:headEnd/>
                      <a:tailEnd/>
                    </a:ln>
                  </pic:spPr>
                </pic:pic>
              </a:graphicData>
            </a:graphic>
          </wp:inline>
        </w:drawing>
      </w:r>
      <w:r>
        <w:t xml:space="preserve"> </w:t>
      </w:r>
    </w:p>
    <w:p w:rsidR="00000000" w:rsidRDefault="00B4505B">
      <w:pPr>
        <w:pStyle w:val="centerpar"/>
        <w:ind w:firstLine="360"/>
      </w:pPr>
      <w:r>
        <w:drawing>
          <wp:inline distT="0" distB="0" distL="0" distR="0">
            <wp:extent cx="2755900" cy="2019300"/>
            <wp:effectExtent l="1905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srcRect/>
                    <a:stretch>
                      <a:fillRect/>
                    </a:stretch>
                  </pic:blipFill>
                  <pic:spPr bwMode="auto">
                    <a:xfrm>
                      <a:off x="0" y="0"/>
                      <a:ext cx="2755900" cy="2019300"/>
                    </a:xfrm>
                    <a:prstGeom prst="rect">
                      <a:avLst/>
                    </a:prstGeom>
                    <a:noFill/>
                    <a:ln w="9525">
                      <a:noFill/>
                      <a:miter lim="800000"/>
                      <a:headEnd/>
                      <a:tailEnd/>
                    </a:ln>
                  </pic:spPr>
                </pic:pic>
              </a:graphicData>
            </a:graphic>
          </wp:inline>
        </w:drawing>
      </w:r>
      <w:r>
        <w:t xml:space="preserve"> </w:t>
      </w:r>
      <w:r>
        <w:drawing>
          <wp:inline distT="0" distB="0" distL="0" distR="0">
            <wp:extent cx="2755900" cy="2019300"/>
            <wp:effectExtent l="1905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srcRect/>
                    <a:stretch>
                      <a:fillRect/>
                    </a:stretch>
                  </pic:blipFill>
                  <pic:spPr bwMode="auto">
                    <a:xfrm>
                      <a:off x="0" y="0"/>
                      <a:ext cx="2755900" cy="2019300"/>
                    </a:xfrm>
                    <a:prstGeom prst="rect">
                      <a:avLst/>
                    </a:prstGeom>
                    <a:noFill/>
                    <a:ln w="9525">
                      <a:noFill/>
                      <a:miter lim="800000"/>
                      <a:headEnd/>
                      <a:tailEnd/>
                    </a:ln>
                  </pic:spPr>
                </pic:pic>
              </a:graphicData>
            </a:graphic>
          </wp:inline>
        </w:drawing>
      </w:r>
    </w:p>
    <w:p w:rsidR="00000000" w:rsidRDefault="00B4505B">
      <w:pPr>
        <w:pStyle w:val="centerpar"/>
        <w:ind w:firstLine="360"/>
      </w:pPr>
      <w:r>
        <w:lastRenderedPageBreak/>
        <w:drawing>
          <wp:inline distT="0" distB="0" distL="0" distR="0">
            <wp:extent cx="2755900" cy="2019300"/>
            <wp:effectExtent l="1905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srcRect/>
                    <a:stretch>
                      <a:fillRect/>
                    </a:stretch>
                  </pic:blipFill>
                  <pic:spPr bwMode="auto">
                    <a:xfrm>
                      <a:off x="0" y="0"/>
                      <a:ext cx="2755900" cy="2019300"/>
                    </a:xfrm>
                    <a:prstGeom prst="rect">
                      <a:avLst/>
                    </a:prstGeom>
                    <a:noFill/>
                    <a:ln w="9525">
                      <a:noFill/>
                      <a:miter lim="800000"/>
                      <a:headEnd/>
                      <a:tailEnd/>
                    </a:ln>
                  </pic:spPr>
                </pic:pic>
              </a:graphicData>
            </a:graphic>
          </wp:inline>
        </w:drawing>
      </w:r>
      <w:r>
        <w:t xml:space="preserve"> </w:t>
      </w:r>
      <w:r>
        <w:drawing>
          <wp:inline distT="0" distB="0" distL="0" distR="0">
            <wp:extent cx="2755900" cy="2019300"/>
            <wp:effectExtent l="1905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srcRect/>
                    <a:stretch>
                      <a:fillRect/>
                    </a:stretch>
                  </pic:blipFill>
                  <pic:spPr bwMode="auto">
                    <a:xfrm>
                      <a:off x="0" y="0"/>
                      <a:ext cx="2755900" cy="2019300"/>
                    </a:xfrm>
                    <a:prstGeom prst="rect">
                      <a:avLst/>
                    </a:prstGeom>
                    <a:noFill/>
                    <a:ln w="9525">
                      <a:noFill/>
                      <a:miter lim="800000"/>
                      <a:headEnd/>
                      <a:tailEnd/>
                    </a:ln>
                  </pic:spPr>
                </pic:pic>
              </a:graphicData>
            </a:graphic>
          </wp:inline>
        </w:drawing>
      </w:r>
    </w:p>
    <w:p w:rsidR="00000000" w:rsidRDefault="00B4505B">
      <w:pPr>
        <w:pStyle w:val="centerpar"/>
        <w:ind w:firstLine="360"/>
      </w:pPr>
      <w:r>
        <w:drawing>
          <wp:inline distT="0" distB="0" distL="0" distR="0">
            <wp:extent cx="2755900" cy="2019300"/>
            <wp:effectExtent l="1905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srcRect/>
                    <a:stretch>
                      <a:fillRect/>
                    </a:stretch>
                  </pic:blipFill>
                  <pic:spPr bwMode="auto">
                    <a:xfrm>
                      <a:off x="0" y="0"/>
                      <a:ext cx="2755900" cy="2019300"/>
                    </a:xfrm>
                    <a:prstGeom prst="rect">
                      <a:avLst/>
                    </a:prstGeom>
                    <a:noFill/>
                    <a:ln w="9525">
                      <a:noFill/>
                      <a:miter lim="800000"/>
                      <a:headEnd/>
                      <a:tailEnd/>
                    </a:ln>
                  </pic:spPr>
                </pic:pic>
              </a:graphicData>
            </a:graphic>
          </wp:inline>
        </w:drawing>
      </w:r>
      <w:r>
        <w:t xml:space="preserve"> </w:t>
      </w:r>
      <w:r>
        <w:drawing>
          <wp:inline distT="0" distB="0" distL="0" distR="0">
            <wp:extent cx="2755900" cy="2019300"/>
            <wp:effectExtent l="1905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srcRect/>
                    <a:stretch>
                      <a:fillRect/>
                    </a:stretch>
                  </pic:blipFill>
                  <pic:spPr bwMode="auto">
                    <a:xfrm>
                      <a:off x="0" y="0"/>
                      <a:ext cx="2755900" cy="2019300"/>
                    </a:xfrm>
                    <a:prstGeom prst="rect">
                      <a:avLst/>
                    </a:prstGeom>
                    <a:noFill/>
                    <a:ln w="9525">
                      <a:noFill/>
                      <a:miter lim="800000"/>
                      <a:headEnd/>
                      <a:tailEnd/>
                    </a:ln>
                  </pic:spPr>
                </pic:pic>
              </a:graphicData>
            </a:graphic>
          </wp:inline>
        </w:drawing>
      </w:r>
    </w:p>
    <w:p w:rsidR="00000000" w:rsidRDefault="00B4505B">
      <w:pPr>
        <w:pStyle w:val="Caption"/>
      </w:pPr>
      <w:r>
        <w:lastRenderedPageBreak/>
        <w:t xml:space="preserve">Figure </w:t>
      </w:r>
      <w:bookmarkStart w:id="57" w:name="BMfig_crosswind_vort1"/>
      <w:r>
        <w:t>23</w:t>
      </w:r>
      <w:bookmarkEnd w:id="57"/>
      <w:r>
        <w:t>: Per</w:t>
      </w:r>
      <w:r>
        <w:t>turbation vorticity contours from the crosswind shear gradient simulation. From top left to bottom right the images are taken at 20, 40, 60, 80, 100, 120, 140, and 160 seconds.</w:t>
      </w:r>
      <w:r>
        <w:fldChar w:fldCharType="begin"/>
      </w:r>
      <w:r>
        <w:instrText>TC "23 Perturbation vorticity contours from the crosswind shear gradient simulat</w:instrText>
      </w:r>
      <w:r>
        <w:instrText>ion. From top left to bottom right the images are taken at 20, 40, 60, 80, 100, 120, 140, and 160 seconds." \f f</w:instrText>
      </w:r>
      <w:r>
        <w:fldChar w:fldCharType="end"/>
      </w:r>
    </w:p>
    <w:p w:rsidR="00000000" w:rsidRDefault="00B4505B">
      <w:pPr>
        <w:pStyle w:val="Heading3"/>
        <w:widowControl/>
        <w:spacing w:before="360"/>
      </w:pPr>
      <w:r>
        <w:t>5.9  Numerical Simulation Including a Crosswind Shear Gradient</w:t>
      </w:r>
    </w:p>
    <w:p w:rsidR="00000000" w:rsidRDefault="00B4505B">
      <w:pPr>
        <w:spacing w:before="60"/>
      </w:pPr>
      <w:r>
        <w:t xml:space="preserve">The vortex pair simulation discussed in Section 4 was repeated with the following crosswind profile </w:t>
      </w:r>
    </w:p>
    <w:p w:rsidR="00000000" w:rsidRDefault="00B4505B">
      <w:pPr>
        <w:pStyle w:val="equationNum"/>
        <w:tabs>
          <w:tab w:val="center" w:pos="4336"/>
          <w:tab w:val="right" w:pos="8672"/>
        </w:tabs>
      </w:pPr>
      <w:r>
        <w:tab/>
      </w:r>
      <w:r>
        <w:fldChar w:fldCharType="begin"/>
      </w:r>
      <w:r>
        <w:instrText xml:space="preserve"> EQ </w:instrText>
      </w:r>
      <w:r>
        <w:rPr>
          <w:i/>
          <w:iCs/>
        </w:rPr>
        <w:instrText>V</w:instrText>
      </w:r>
      <w:r>
        <w:instrText>(</w:instrText>
      </w:r>
      <w:r>
        <w:rPr>
          <w:i/>
          <w:iCs/>
        </w:rPr>
        <w:instrText>z</w:instrText>
      </w:r>
      <w:r>
        <w:instrText>)=</w:instrText>
      </w:r>
      <w:r>
        <w:rPr>
          <w:i/>
          <w:iCs/>
        </w:rPr>
        <w:instrText>V</w:instrText>
      </w:r>
      <w:r>
        <w:instrText>\s\do6(</w:instrText>
      </w:r>
      <w:r>
        <w:rPr>
          <w:sz w:val="20"/>
          <w:szCs w:val="20"/>
        </w:rPr>
        <w:instrText>0</w:instrText>
      </w:r>
      <w:r>
        <w:instrText>) \b \bc\[ (1</w:instrText>
      </w:r>
      <w:r>
        <w:instrText>−</w:instrText>
      </w:r>
      <w:r>
        <w:instrText xml:space="preserve"> \F(</w:instrText>
      </w:r>
      <w:r>
        <w:rPr>
          <w:i/>
          <w:iCs/>
        </w:rPr>
        <w:instrText>z</w:instrText>
      </w:r>
      <w:r>
        <w:instrText>,</w:instrText>
      </w:r>
      <w:r>
        <w:rPr>
          <w:i/>
          <w:iCs/>
        </w:rPr>
        <w:instrText>z</w:instrText>
      </w:r>
      <w:r>
        <w:instrText>\s\do6(</w:instrText>
      </w:r>
      <w:r>
        <w:rPr>
          <w:sz w:val="20"/>
          <w:szCs w:val="20"/>
        </w:rPr>
        <w:instrText>0</w:instrText>
      </w:r>
      <w:r>
        <w:instrText>)))\s\up17(</w:instrText>
      </w:r>
      <w:r>
        <w:rPr>
          <w:sz w:val="20"/>
          <w:szCs w:val="20"/>
        </w:rPr>
        <w:instrText>2</w:instrText>
      </w:r>
      <w:r>
        <w:instrText xml:space="preserve">);      </w:instrText>
      </w:r>
      <w:r>
        <w:rPr>
          <w:i/>
          <w:iCs/>
        </w:rPr>
        <w:instrText>V</w:instrText>
      </w:r>
      <w:r>
        <w:instrText>\s\do6(</w:instrText>
      </w:r>
      <w:r>
        <w:rPr>
          <w:sz w:val="20"/>
          <w:szCs w:val="20"/>
        </w:rPr>
        <w:instrText>0</w:instrText>
      </w:r>
      <w:r>
        <w:instrText>)=10 </w:instrText>
      </w:r>
      <w:r>
        <w:rPr>
          <w:i/>
          <w:iCs/>
        </w:rPr>
        <w:instrText>m</w:instrText>
      </w:r>
      <w:r>
        <w:instrText>/</w:instrText>
      </w:r>
      <w:r>
        <w:rPr>
          <w:i/>
          <w:iCs/>
        </w:rPr>
        <w:instrText>s</w:instrText>
      </w:r>
      <w:r>
        <w:fldChar w:fldCharType="end"/>
      </w:r>
      <w:r>
        <w:tab/>
        <w:t>(34)</w:t>
      </w:r>
    </w:p>
    <w:p w:rsidR="00000000" w:rsidRDefault="00B4505B">
      <w:r>
        <w:t>This profile results in a constant second derivative, which gi</w:t>
      </w:r>
      <w:r>
        <w:t xml:space="preserve">ve the following value for the non-dimensional shear gradient </w:t>
      </w:r>
    </w:p>
    <w:p w:rsidR="00000000" w:rsidRDefault="00B4505B">
      <w:pPr>
        <w:pStyle w:val="equationNum"/>
        <w:tabs>
          <w:tab w:val="center" w:pos="4336"/>
          <w:tab w:val="right" w:pos="8672"/>
        </w:tabs>
      </w:pPr>
      <w:r>
        <w:tab/>
      </w:r>
      <w:r>
        <w:fldChar w:fldCharType="begin"/>
      </w:r>
      <w:r>
        <w:instrText xml:space="preserve"> EQ </w:instrText>
      </w:r>
      <w:r>
        <w:rPr>
          <w:i/>
          <w:iCs/>
        </w:rPr>
        <w:instrText>sg</w:instrText>
      </w:r>
      <w:r>
        <w:instrText>\s\up6(</w:instrText>
      </w:r>
      <w:r>
        <w:rPr>
          <w:sz w:val="20"/>
          <w:szCs w:val="20"/>
        </w:rPr>
        <w:instrText>*</w:instrText>
      </w:r>
      <w:r>
        <w:instrText>)= \F(</w:instrText>
      </w:r>
      <w:r>
        <w:rPr>
          <w:i/>
          <w:iCs/>
        </w:rPr>
        <w:instrText>d</w:instrText>
      </w:r>
      <w:r>
        <w:instrText>\s\up6(</w:instrText>
      </w:r>
      <w:r>
        <w:rPr>
          <w:sz w:val="20"/>
          <w:szCs w:val="20"/>
        </w:rPr>
        <w:instrText>2</w:instrText>
      </w:r>
      <w:r>
        <w:instrText>)</w:instrText>
      </w:r>
      <w:r>
        <w:rPr>
          <w:i/>
          <w:iCs/>
        </w:rPr>
        <w:instrText>V</w:instrText>
      </w:r>
      <w:r>
        <w:instrText>,</w:instrText>
      </w:r>
      <w:r>
        <w:rPr>
          <w:i/>
          <w:iCs/>
        </w:rPr>
        <w:instrText>dz</w:instrText>
      </w:r>
      <w:r>
        <w:instrText>\s\up6(</w:instrText>
      </w:r>
      <w:r>
        <w:rPr>
          <w:sz w:val="20"/>
          <w:szCs w:val="20"/>
        </w:rPr>
        <w:instrText>2</w:instrText>
      </w:r>
      <w:r>
        <w:instrText>)) \b ( \F(</w:instrText>
      </w:r>
      <w:r>
        <w:rPr>
          <w:i/>
          <w:iCs/>
        </w:rPr>
        <w:instrText>b</w:instrText>
      </w:r>
      <w:r>
        <w:instrText>\s\up(</w:instrText>
      </w:r>
      <w:r>
        <w:rPr>
          <w:sz w:val="20"/>
          <w:szCs w:val="20"/>
        </w:rPr>
        <w:instrText>2,0</w:instrText>
      </w:r>
      <w:r>
        <w:instrText>),</w:instrText>
      </w:r>
      <w:r>
        <w:rPr>
          <w:i/>
          <w:iCs/>
        </w:rPr>
        <w:instrText>w</w:instrText>
      </w:r>
      <w:r>
        <w:instrText>\s\do6(</w:instrText>
      </w:r>
      <w:r>
        <w:rPr>
          <w:sz w:val="20"/>
          <w:szCs w:val="20"/>
        </w:rPr>
        <w:instrText>0</w:instrText>
      </w:r>
      <w:r>
        <w:instrText>)))=0.38</w:instrText>
      </w:r>
      <w:r>
        <w:fldChar w:fldCharType="end"/>
      </w:r>
      <w:r>
        <w:tab/>
        <w:t>(35)</w:t>
      </w:r>
    </w:p>
    <w:p w:rsidR="00000000" w:rsidRDefault="00B4505B">
      <w:r>
        <w:t xml:space="preserve">A time sequence of vorticity fields from the crosswind shear gradient simulation is shown in Figure </w:t>
      </w:r>
      <w:fldSimple w:instr="REF BMfig_crosswind_vort1 \* MERGEFORMAT ">
        <w:r>
          <w:t>23</w:t>
        </w:r>
      </w:fldSimple>
      <w:r>
        <w:t xml:space="preserve">. The vorticity due to the imposed crosswind distribution has been subtracted and thus the images depict the disturbance relative to the background. The advection and tilting of the primary vortices is readily </w:t>
      </w:r>
      <w:r>
        <w:t xml:space="preserve">apparent. Closer scrutiny shows that the primary vorticity on the port side is enhanced while the primary vorticity on the starboard side is reduced. </w:t>
      </w:r>
    </w:p>
    <w:p w:rsidR="00000000" w:rsidRDefault="00B4505B">
      <w:pPr>
        <w:ind w:firstLine="360"/>
      </w:pPr>
      <w:r>
        <w:t>The numerical simulation was used to measure the time histories of the primary vortex circulations. Due t</w:t>
      </w:r>
      <w:r>
        <w:t xml:space="preserve">o interactions with the background vorticity field, the primary vortex circulations develop an asymmetry, which can modeled as </w:t>
      </w:r>
    </w:p>
    <w:p w:rsidR="00000000" w:rsidRDefault="00B4505B">
      <w:pPr>
        <w:pStyle w:val="equationArrayNum"/>
        <w:tabs>
          <w:tab w:val="right" w:pos="3902"/>
          <w:tab w:val="center" w:pos="4336"/>
          <w:tab w:val="left" w:pos="4769"/>
          <w:tab w:val="right" w:pos="8672"/>
        </w:tabs>
      </w:pPr>
      <w:r>
        <w:tab/>
      </w:r>
      <w:r>
        <w:fldChar w:fldCharType="begin"/>
      </w:r>
      <w:r>
        <w:instrText xml:space="preserve"> EQ  \b ( \F(</w:instrText>
      </w:r>
      <w:r>
        <w:rPr>
          <w:i/>
          <w:iCs/>
        </w:rPr>
        <w:instrText>d</w:instrText>
      </w:r>
      <w:r>
        <w:instrText>Γ</w:instrText>
      </w:r>
      <w:r>
        <w:instrText>,</w:instrText>
      </w:r>
      <w:r>
        <w:rPr>
          <w:i/>
          <w:iCs/>
        </w:rPr>
        <w:instrText>dt</w:instrText>
      </w:r>
      <w:r>
        <w:instrText>))\s\do17(</w:instrText>
      </w:r>
      <w:r>
        <w:rPr>
          <w:i/>
          <w:iCs/>
          <w:sz w:val="20"/>
          <w:szCs w:val="20"/>
        </w:rPr>
        <w:instrText>p</w:instrText>
      </w:r>
      <w:r>
        <w:instrText>)</w:instrText>
      </w:r>
      <w:r>
        <w:fldChar w:fldCharType="end"/>
      </w:r>
      <w:r>
        <w:tab/>
      </w:r>
      <w:r>
        <w:fldChar w:fldCharType="begin"/>
      </w:r>
      <w:r>
        <w:instrText xml:space="preserve"> EQ =</w:instrText>
      </w:r>
      <w:r>
        <w:fldChar w:fldCharType="end"/>
      </w:r>
      <w:r>
        <w:tab/>
      </w:r>
      <w:r>
        <w:fldChar w:fldCharType="begin"/>
      </w:r>
      <w:r>
        <w:instrText xml:space="preserve"> EQ </w:instrText>
      </w:r>
      <w:r>
        <w:instrText>−</w:instrText>
      </w:r>
      <w:r>
        <w:rPr>
          <w:i/>
          <w:iCs/>
        </w:rPr>
        <w:instrText>H</w:instrText>
      </w:r>
      <w:r>
        <w:instrText>(</w:instrText>
      </w:r>
      <w:r>
        <w:rPr>
          <w:i/>
          <w:iCs/>
        </w:rPr>
        <w:instrText>t</w:instrText>
      </w:r>
      <w:r>
        <w:instrText>\s\up6(</w:instrText>
      </w:r>
      <w:r>
        <w:rPr>
          <w:sz w:val="20"/>
          <w:szCs w:val="20"/>
        </w:rPr>
        <w:instrText>*</w:instrText>
      </w:r>
      <w:r>
        <w:instrText>)</w:instrText>
      </w:r>
      <w:r>
        <w:instrText>−</w:instrText>
      </w:r>
      <w:r>
        <w:rPr>
          <w:i/>
          <w:iCs/>
        </w:rPr>
        <w:instrText>t</w:instrText>
      </w:r>
      <w:r>
        <w:instrText>\s\up(</w:instrText>
      </w:r>
      <w:r>
        <w:rPr>
          <w:sz w:val="20"/>
          <w:szCs w:val="20"/>
        </w:rPr>
        <w:instrText>*,</w:instrText>
      </w:r>
      <w:r>
        <w:rPr>
          <w:i/>
          <w:iCs/>
          <w:sz w:val="20"/>
          <w:szCs w:val="20"/>
        </w:rPr>
        <w:instrText>rollup</w:instrText>
      </w:r>
      <w:r>
        <w:instrText>)) \b \bc\[ (1</w:instrText>
      </w:r>
      <w:r>
        <w:instrText>−</w:instrText>
      </w:r>
      <w:r>
        <w:rPr>
          <w:i/>
          <w:iCs/>
        </w:rPr>
        <w:instrText>S</w:instrText>
      </w:r>
      <w:r>
        <w:instrText>\s\do6(</w:instrText>
      </w:r>
      <w:r>
        <w:rPr>
          <w:i/>
          <w:iCs/>
          <w:sz w:val="20"/>
          <w:szCs w:val="20"/>
        </w:rPr>
        <w:instrText>p</w:instrText>
      </w:r>
      <w:r>
        <w:instrText>)</w:instrText>
      </w:r>
      <w:r>
        <w:rPr>
          <w:i/>
          <w:iCs/>
        </w:rPr>
        <w:instrText>sg</w:instrText>
      </w:r>
      <w:r>
        <w:instrText>\s\up6(</w:instrText>
      </w:r>
      <w:r>
        <w:rPr>
          <w:sz w:val="20"/>
          <w:szCs w:val="20"/>
        </w:rPr>
        <w:instrText>*</w:instrText>
      </w:r>
      <w:r>
        <w:instrText>)) \b ( \F(</w:instrText>
      </w:r>
      <w:r>
        <w:rPr>
          <w:i/>
          <w:iCs/>
        </w:rPr>
        <w:instrText>d</w:instrText>
      </w:r>
      <w:r>
        <w:instrText>Γ</w:instrText>
      </w:r>
      <w:r>
        <w:instrText>,</w:instrText>
      </w:r>
      <w:r>
        <w:rPr>
          <w:i/>
          <w:iCs/>
        </w:rPr>
        <w:instrText>dt</w:instrText>
      </w:r>
      <w:r>
        <w:instrText>))</w:instrText>
      </w:r>
      <w:r>
        <w:instrText>\s\do17(</w:instrText>
      </w:r>
      <w:r>
        <w:rPr>
          <w:sz w:val="20"/>
          <w:szCs w:val="20"/>
        </w:rPr>
        <w:instrText>0</w:instrText>
      </w:r>
      <w:r>
        <w:instrText>)</w:instrText>
      </w:r>
      <w:r>
        <w:fldChar w:fldCharType="end"/>
      </w:r>
      <w:r>
        <w:tab/>
        <w:t>(36)</w:t>
      </w:r>
    </w:p>
    <w:p w:rsidR="00000000" w:rsidRDefault="00B4505B">
      <w:pPr>
        <w:pStyle w:val="equationArrayNum"/>
        <w:tabs>
          <w:tab w:val="right" w:pos="3902"/>
          <w:tab w:val="center" w:pos="4336"/>
          <w:tab w:val="left" w:pos="4769"/>
          <w:tab w:val="right" w:pos="8672"/>
        </w:tabs>
      </w:pPr>
      <w:r>
        <w:tab/>
      </w:r>
      <w:r>
        <w:fldChar w:fldCharType="begin"/>
      </w:r>
      <w:r>
        <w:instrText xml:space="preserve"> EQ  \b ( \F(</w:instrText>
      </w:r>
      <w:r>
        <w:rPr>
          <w:i/>
          <w:iCs/>
        </w:rPr>
        <w:instrText>d</w:instrText>
      </w:r>
      <w:r>
        <w:instrText>Γ</w:instrText>
      </w:r>
      <w:r>
        <w:instrText>,</w:instrText>
      </w:r>
      <w:r>
        <w:rPr>
          <w:i/>
          <w:iCs/>
        </w:rPr>
        <w:instrText>dt</w:instrText>
      </w:r>
      <w:r>
        <w:instrText>))\s\do17(</w:instrText>
      </w:r>
      <w:r>
        <w:rPr>
          <w:i/>
          <w:iCs/>
          <w:sz w:val="20"/>
          <w:szCs w:val="20"/>
        </w:rPr>
        <w:instrText>s</w:instrText>
      </w:r>
      <w:r>
        <w:instrText>)</w:instrText>
      </w:r>
      <w:r>
        <w:fldChar w:fldCharType="end"/>
      </w:r>
      <w:r>
        <w:tab/>
      </w:r>
      <w:r>
        <w:fldChar w:fldCharType="begin"/>
      </w:r>
      <w:r>
        <w:instrText xml:space="preserve"> EQ =</w:instrText>
      </w:r>
      <w:r>
        <w:fldChar w:fldCharType="end"/>
      </w:r>
      <w:r>
        <w:tab/>
      </w:r>
      <w:r>
        <w:fldChar w:fldCharType="begin"/>
      </w:r>
      <w:r>
        <w:instrText xml:space="preserve"> EQ </w:instrText>
      </w:r>
      <w:r>
        <w:instrText>−</w:instrText>
      </w:r>
      <w:r>
        <w:rPr>
          <w:i/>
          <w:iCs/>
        </w:rPr>
        <w:instrText>H</w:instrText>
      </w:r>
      <w:r>
        <w:instrText>(</w:instrText>
      </w:r>
      <w:r>
        <w:rPr>
          <w:i/>
          <w:iCs/>
        </w:rPr>
        <w:instrText>t</w:instrText>
      </w:r>
      <w:r>
        <w:instrText>\s\up6(</w:instrText>
      </w:r>
      <w:r>
        <w:rPr>
          <w:sz w:val="20"/>
          <w:szCs w:val="20"/>
        </w:rPr>
        <w:instrText>*</w:instrText>
      </w:r>
      <w:r>
        <w:instrText>)</w:instrText>
      </w:r>
      <w:r>
        <w:instrText>−</w:instrText>
      </w:r>
      <w:r>
        <w:rPr>
          <w:i/>
          <w:iCs/>
        </w:rPr>
        <w:instrText>t</w:instrText>
      </w:r>
      <w:r>
        <w:instrText>\s\up(</w:instrText>
      </w:r>
      <w:r>
        <w:rPr>
          <w:sz w:val="20"/>
          <w:szCs w:val="20"/>
        </w:rPr>
        <w:instrText>*,</w:instrText>
      </w:r>
      <w:r>
        <w:rPr>
          <w:i/>
          <w:iCs/>
          <w:sz w:val="20"/>
          <w:szCs w:val="20"/>
        </w:rPr>
        <w:instrText>rollup</w:instrText>
      </w:r>
      <w:r>
        <w:instrText>)) \b \bc\[ (1+</w:instrText>
      </w:r>
      <w:r>
        <w:rPr>
          <w:i/>
          <w:iCs/>
        </w:rPr>
        <w:instrText>S</w:instrText>
      </w:r>
      <w:r>
        <w:instrText>\s\do6(</w:instrText>
      </w:r>
      <w:r>
        <w:rPr>
          <w:i/>
          <w:iCs/>
          <w:sz w:val="20"/>
          <w:szCs w:val="20"/>
        </w:rPr>
        <w:instrText>s</w:instrText>
      </w:r>
      <w:r>
        <w:instrText>)</w:instrText>
      </w:r>
      <w:r>
        <w:rPr>
          <w:i/>
          <w:iCs/>
        </w:rPr>
        <w:instrText>sg</w:instrText>
      </w:r>
      <w:r>
        <w:instrText>\s\up6(</w:instrText>
      </w:r>
      <w:r>
        <w:rPr>
          <w:sz w:val="20"/>
          <w:szCs w:val="20"/>
        </w:rPr>
        <w:instrText>*</w:instrText>
      </w:r>
      <w:r>
        <w:instrText>)) \b ( \F(</w:instrText>
      </w:r>
      <w:r>
        <w:rPr>
          <w:i/>
          <w:iCs/>
        </w:rPr>
        <w:instrText>d</w:instrText>
      </w:r>
      <w:r>
        <w:instrText>Γ</w:instrText>
      </w:r>
      <w:r>
        <w:instrText>,</w:instrText>
      </w:r>
      <w:r>
        <w:rPr>
          <w:i/>
          <w:iCs/>
        </w:rPr>
        <w:instrText>dt</w:instrText>
      </w:r>
      <w:r>
        <w:instrText>))\s\do17(</w:instrText>
      </w:r>
      <w:r>
        <w:rPr>
          <w:sz w:val="20"/>
          <w:szCs w:val="20"/>
        </w:rPr>
        <w:instrText>0</w:instrText>
      </w:r>
      <w:r>
        <w:instrText>)</w:instrText>
      </w:r>
      <w:r>
        <w:fldChar w:fldCharType="end"/>
      </w:r>
      <w:r>
        <w:tab/>
        <w:t>(37)</w:t>
      </w:r>
    </w:p>
    <w:p w:rsidR="00000000" w:rsidRDefault="00B4505B">
      <w:r>
        <w:t xml:space="preserve">where </w:t>
      </w:r>
      <w:r>
        <w:rPr>
          <w:i/>
          <w:iCs/>
        </w:rPr>
        <w:t>H</w:t>
      </w:r>
      <w:r>
        <w:t xml:space="preserve">() is the Heavyside function, </w:t>
      </w:r>
      <w:r>
        <w:fldChar w:fldCharType="begin"/>
      </w:r>
      <w:r>
        <w:instrText xml:space="preserve"> EQ (</w:instrText>
      </w:r>
      <w:r>
        <w:rPr>
          <w:i/>
          <w:iCs/>
        </w:rPr>
        <w:instrText>d</w:instrText>
      </w:r>
      <w:r>
        <w:instrText>Γ</w:instrText>
      </w:r>
      <w:r>
        <w:instrText>/</w:instrText>
      </w:r>
      <w:r>
        <w:rPr>
          <w:i/>
          <w:iCs/>
        </w:rPr>
        <w:instrText>dt</w:instrText>
      </w:r>
      <w:r>
        <w:instrText>)\s\do6(</w:instrText>
      </w:r>
      <w:r>
        <w:rPr>
          <w:sz w:val="20"/>
          <w:szCs w:val="20"/>
        </w:rPr>
        <w:instrText>0</w:instrText>
      </w:r>
      <w:r>
        <w:instrText>)</w:instrText>
      </w:r>
      <w:r>
        <w:fldChar w:fldCharType="end"/>
      </w:r>
      <w:r>
        <w:t xml:space="preserve"> is the nominal circulation decay rate given in Eq. (</w:t>
      </w:r>
      <w:fldSimple w:instr="REF BMeq_decay_rate \* MERGEFORMAT ">
        <w:r>
          <w:t>20</w:t>
        </w:r>
      </w:fldSimple>
      <w:r>
        <w:t xml:space="preserve">) and where </w:t>
      </w:r>
      <w:r>
        <w:fldChar w:fldCharType="begin"/>
      </w:r>
      <w:r>
        <w:instrText xml:space="preserve"> EQ </w:instrText>
      </w:r>
      <w:r>
        <w:rPr>
          <w:i/>
          <w:iCs/>
        </w:rPr>
        <w:instrText>S</w:instrText>
      </w:r>
      <w:r>
        <w:instrText>\s\do6(</w:instrText>
      </w:r>
      <w:r>
        <w:rPr>
          <w:i/>
          <w:iCs/>
          <w:sz w:val="20"/>
          <w:szCs w:val="20"/>
        </w:rPr>
        <w:instrText>p</w:instrText>
      </w:r>
      <w:r>
        <w:instrText>)</w:instrText>
      </w:r>
      <w:r>
        <w:fldChar w:fldCharType="end"/>
      </w:r>
      <w:r>
        <w:t xml:space="preserve"> and </w:t>
      </w:r>
      <w:r>
        <w:fldChar w:fldCharType="begin"/>
      </w:r>
      <w:r>
        <w:instrText xml:space="preserve"> EQ </w:instrText>
      </w:r>
      <w:r>
        <w:rPr>
          <w:i/>
          <w:iCs/>
        </w:rPr>
        <w:instrText>S</w:instrText>
      </w:r>
      <w:r>
        <w:instrText>\s\do6(</w:instrText>
      </w:r>
      <w:r>
        <w:rPr>
          <w:i/>
          <w:iCs/>
          <w:sz w:val="20"/>
          <w:szCs w:val="20"/>
        </w:rPr>
        <w:instrText>s</w:instrText>
      </w:r>
      <w:r>
        <w:instrText>)</w:instrText>
      </w:r>
      <w:r>
        <w:fldChar w:fldCharType="end"/>
      </w:r>
      <w:r>
        <w:t xml:space="preserve"> are a pair of constants whose values switch depending on the sign of </w:t>
      </w:r>
      <w:r>
        <w:fldChar w:fldCharType="begin"/>
      </w:r>
      <w:r>
        <w:instrText xml:space="preserve"> EQ </w:instrText>
      </w:r>
      <w:r>
        <w:rPr>
          <w:i/>
          <w:iCs/>
        </w:rPr>
        <w:instrText>sg</w:instrText>
      </w:r>
      <w:r>
        <w:instrText>\s\up6(</w:instrText>
      </w:r>
      <w:r>
        <w:rPr>
          <w:sz w:val="20"/>
          <w:szCs w:val="20"/>
        </w:rPr>
        <w:instrText>*</w:instrText>
      </w:r>
      <w:r>
        <w:instrText>)</w:instrText>
      </w:r>
      <w:r>
        <w:fldChar w:fldCharType="end"/>
      </w:r>
      <w:r>
        <w:t xml:space="preserve">: </w:t>
      </w:r>
    </w:p>
    <w:p w:rsidR="00000000" w:rsidRDefault="00B4505B">
      <w:pPr>
        <w:pStyle w:val="equationNum"/>
        <w:tabs>
          <w:tab w:val="center" w:pos="4336"/>
          <w:tab w:val="right" w:pos="8672"/>
        </w:tabs>
      </w:pPr>
      <w:r>
        <w:tab/>
      </w:r>
      <w:r>
        <w:fldChar w:fldCharType="begin"/>
      </w:r>
      <w:r>
        <w:instrText xml:space="preserve"> EQ </w:instrText>
      </w:r>
      <w:r>
        <w:rPr>
          <w:i/>
          <w:iCs/>
        </w:rPr>
        <w:instrText>S</w:instrText>
      </w:r>
      <w:r>
        <w:instrText>\s\do6(</w:instrText>
      </w:r>
      <w:r>
        <w:rPr>
          <w:i/>
          <w:iCs/>
          <w:sz w:val="20"/>
          <w:szCs w:val="20"/>
        </w:rPr>
        <w:instrText>p</w:instrText>
      </w:r>
      <w:r>
        <w:instrText>)= \b \lc\</w:instrText>
      </w:r>
      <w:r>
        <w:instrText>{ ( \a \al \co2 (</w:instrText>
      </w:r>
      <w:r>
        <w:rPr>
          <w:i/>
          <w:iCs/>
        </w:rPr>
        <w:instrText>C</w:instrText>
      </w:r>
      <w:r>
        <w:instrText>\s\do6(</w:instrText>
      </w:r>
      <w:r>
        <w:rPr>
          <w:i/>
          <w:iCs/>
          <w:sz w:val="20"/>
          <w:szCs w:val="20"/>
        </w:rPr>
        <w:instrText>sg</w:instrText>
      </w:r>
      <w:r>
        <w:rPr>
          <w:sz w:val="20"/>
          <w:szCs w:val="20"/>
        </w:rPr>
        <w:instrText>1</w:instrText>
      </w:r>
      <w:r>
        <w:instrText>),</w:instrText>
      </w:r>
      <w:r>
        <w:rPr>
          <w:i/>
          <w:iCs/>
        </w:rPr>
        <w:instrText>sg</w:instrText>
      </w:r>
      <w:r>
        <w:instrText>\s\up6(</w:instrText>
      </w:r>
      <w:r>
        <w:rPr>
          <w:sz w:val="20"/>
          <w:szCs w:val="20"/>
        </w:rPr>
        <w:instrText>*</w:instrText>
      </w:r>
      <w:r>
        <w:instrText>)</w:instrText>
      </w:r>
      <w:r>
        <w:instrText>≥</w:instrText>
      </w:r>
      <w:r>
        <w:instrText>0,</w:instrText>
      </w:r>
      <w:r>
        <w:rPr>
          <w:i/>
          <w:iCs/>
        </w:rPr>
        <w:instrText>C</w:instrText>
      </w:r>
      <w:r>
        <w:instrText>\s\do6(</w:instrText>
      </w:r>
      <w:r>
        <w:rPr>
          <w:i/>
          <w:iCs/>
          <w:sz w:val="20"/>
          <w:szCs w:val="20"/>
        </w:rPr>
        <w:instrText>sg</w:instrText>
      </w:r>
      <w:r>
        <w:rPr>
          <w:sz w:val="20"/>
          <w:szCs w:val="20"/>
        </w:rPr>
        <w:instrText>2</w:instrText>
      </w:r>
      <w:r>
        <w:instrText>),</w:instrText>
      </w:r>
      <w:r>
        <w:rPr>
          <w:i/>
          <w:iCs/>
        </w:rPr>
        <w:instrText>sg</w:instrText>
      </w:r>
      <w:r>
        <w:instrText>\s\up6(</w:instrText>
      </w:r>
      <w:r>
        <w:rPr>
          <w:sz w:val="20"/>
          <w:szCs w:val="20"/>
        </w:rPr>
        <w:instrText>*</w:instrText>
      </w:r>
      <w:r>
        <w:instrText xml:space="preserve">)&lt;0,))            </w:instrText>
      </w:r>
      <w:r>
        <w:rPr>
          <w:i/>
          <w:iCs/>
        </w:rPr>
        <w:instrText>S</w:instrText>
      </w:r>
      <w:r>
        <w:instrText>\s\do6(</w:instrText>
      </w:r>
      <w:r>
        <w:rPr>
          <w:i/>
          <w:iCs/>
          <w:sz w:val="20"/>
          <w:szCs w:val="20"/>
        </w:rPr>
        <w:instrText>p</w:instrText>
      </w:r>
      <w:r>
        <w:instrText>)= \b \lc\{ ( \a \al \co2 (</w:instrText>
      </w:r>
      <w:r>
        <w:rPr>
          <w:i/>
          <w:iCs/>
        </w:rPr>
        <w:instrText>C</w:instrText>
      </w:r>
      <w:r>
        <w:instrText>\s\do6(</w:instrText>
      </w:r>
      <w:r>
        <w:rPr>
          <w:i/>
          <w:iCs/>
          <w:sz w:val="20"/>
          <w:szCs w:val="20"/>
        </w:rPr>
        <w:instrText>sg</w:instrText>
      </w:r>
      <w:r>
        <w:rPr>
          <w:sz w:val="20"/>
          <w:szCs w:val="20"/>
        </w:rPr>
        <w:instrText>2</w:instrText>
      </w:r>
      <w:r>
        <w:instrText>),</w:instrText>
      </w:r>
      <w:r>
        <w:rPr>
          <w:i/>
          <w:iCs/>
        </w:rPr>
        <w:instrText>sg</w:instrText>
      </w:r>
      <w:r>
        <w:instrText>\s\up6(</w:instrText>
      </w:r>
      <w:r>
        <w:rPr>
          <w:sz w:val="20"/>
          <w:szCs w:val="20"/>
        </w:rPr>
        <w:instrText>*</w:instrText>
      </w:r>
      <w:r>
        <w:instrText>)</w:instrText>
      </w:r>
      <w:r>
        <w:instrText>≥</w:instrText>
      </w:r>
      <w:r>
        <w:instrText>0,</w:instrText>
      </w:r>
      <w:r>
        <w:rPr>
          <w:i/>
          <w:iCs/>
        </w:rPr>
        <w:instrText>C</w:instrText>
      </w:r>
      <w:r>
        <w:instrText>\s\do6(</w:instrText>
      </w:r>
      <w:r>
        <w:rPr>
          <w:i/>
          <w:iCs/>
          <w:sz w:val="20"/>
          <w:szCs w:val="20"/>
        </w:rPr>
        <w:instrText>sg</w:instrText>
      </w:r>
      <w:r>
        <w:rPr>
          <w:sz w:val="20"/>
          <w:szCs w:val="20"/>
        </w:rPr>
        <w:instrText>1</w:instrText>
      </w:r>
      <w:r>
        <w:instrText>),</w:instrText>
      </w:r>
      <w:r>
        <w:rPr>
          <w:i/>
          <w:iCs/>
        </w:rPr>
        <w:instrText>sg</w:instrText>
      </w:r>
      <w:r>
        <w:instrText>\s\up6(</w:instrText>
      </w:r>
      <w:r>
        <w:rPr>
          <w:sz w:val="20"/>
          <w:szCs w:val="20"/>
        </w:rPr>
        <w:instrText>*</w:instrText>
      </w:r>
      <w:r>
        <w:instrText>)&lt;0,))</w:instrText>
      </w:r>
      <w:r>
        <w:fldChar w:fldCharType="end"/>
      </w:r>
      <w:r>
        <w:tab/>
        <w:t>(38)</w:t>
      </w:r>
    </w:p>
    <w:p w:rsidR="00000000" w:rsidRDefault="00B4505B">
      <w:r>
        <w:t xml:space="preserve">The Heavyside function is used to deactivate the circulation asymmetry </w:t>
      </w:r>
      <w:r>
        <w:t xml:space="preserve">during the initial vortex roll-up period. The Frankfurt aircraft landing data do not exhibit circulation asymmetry for for times less than about </w:t>
      </w:r>
      <w:r>
        <w:fldChar w:fldCharType="begin"/>
      </w:r>
      <w:r>
        <w:instrText xml:space="preserve"> EQ </w:instrText>
      </w:r>
      <w:r>
        <w:rPr>
          <w:i/>
          <w:iCs/>
        </w:rPr>
        <w:instrText>t</w:instrText>
      </w:r>
      <w:r>
        <w:instrText>\s\up6(</w:instrText>
      </w:r>
      <w:r>
        <w:rPr>
          <w:sz w:val="20"/>
          <w:szCs w:val="20"/>
        </w:rPr>
        <w:instrText>*</w:instrText>
      </w:r>
      <w:r>
        <w:instrText>)=0.5</w:instrText>
      </w:r>
      <w:r>
        <w:fldChar w:fldCharType="end"/>
      </w:r>
      <w:r>
        <w:t>, even though crosswind shear gradients may be present during this time. Better agreement w</w:t>
      </w:r>
      <w:r>
        <w:t xml:space="preserve">ith the landing data is achieved by </w:t>
      </w:r>
      <w:r>
        <w:lastRenderedPageBreak/>
        <w:t>simply deferring the circulation asymmetry effect for about one half a non-dimensional time unit.</w:t>
      </w:r>
    </w:p>
    <w:p w:rsidR="00000000" w:rsidRDefault="00B4505B">
      <w:pPr>
        <w:ind w:firstLine="360"/>
      </w:pPr>
      <w:r>
        <w:t>In contrast to the Frankfurt aircraft landing data, the numerical simulation results show an immediate circulation asymmet</w:t>
      </w:r>
      <w:r>
        <w:t xml:space="preserve">ry response to crosswind shear gradients. This may be due to the fact that the simulation is initiated with two concentrated vortices, and thus does not pass through a vortex roll-up stage. As shown in Table </w:t>
      </w:r>
      <w:fldSimple w:instr="REF BMtable_sg_coefs \* MERGEFORMAT ">
        <w:r>
          <w:t>3</w:t>
        </w:r>
      </w:fldSimple>
      <w:r>
        <w:t>, we can</w:t>
      </w:r>
      <w:r>
        <w:t xml:space="preserve"> account for this difference by taking </w:t>
      </w:r>
      <w:r>
        <w:fldChar w:fldCharType="begin"/>
      </w:r>
      <w:r>
        <w:instrText xml:space="preserve"> EQ </w:instrText>
      </w:r>
      <w:r>
        <w:rPr>
          <w:i/>
          <w:iCs/>
        </w:rPr>
        <w:instrText>t</w:instrText>
      </w:r>
      <w:r>
        <w:instrText>\s\up(</w:instrText>
      </w:r>
      <w:r>
        <w:rPr>
          <w:sz w:val="20"/>
          <w:szCs w:val="20"/>
        </w:rPr>
        <w:instrText>*,</w:instrText>
      </w:r>
      <w:r>
        <w:rPr>
          <w:i/>
          <w:iCs/>
          <w:sz w:val="20"/>
          <w:szCs w:val="20"/>
        </w:rPr>
        <w:instrText>rollup</w:instrText>
      </w:r>
      <w:r>
        <w:instrText>)=0</w:instrText>
      </w:r>
      <w:r>
        <w:fldChar w:fldCharType="end"/>
      </w:r>
      <w:r>
        <w:t xml:space="preserve"> when attempting to model the numerical simulation.</w:t>
      </w:r>
    </w:p>
    <w:p w:rsidR="00000000" w:rsidRDefault="00B4505B">
      <w:pPr>
        <w:ind w:firstLine="360"/>
      </w:pPr>
      <w:r>
        <w:t xml:space="preserve">As with the case with the vortex roll-up time, optimal values of the constants </w:t>
      </w:r>
      <w:r>
        <w:fldChar w:fldCharType="begin"/>
      </w:r>
      <w:r>
        <w:instrText xml:space="preserve"> EQ </w:instrText>
      </w:r>
      <w:r>
        <w:rPr>
          <w:i/>
          <w:iCs/>
        </w:rPr>
        <w:instrText>C</w:instrText>
      </w:r>
      <w:r>
        <w:instrText>\s\do6(</w:instrText>
      </w:r>
      <w:r>
        <w:rPr>
          <w:i/>
          <w:iCs/>
          <w:sz w:val="20"/>
          <w:szCs w:val="20"/>
        </w:rPr>
        <w:instrText>sg</w:instrText>
      </w:r>
      <w:r>
        <w:rPr>
          <w:sz w:val="20"/>
          <w:szCs w:val="20"/>
        </w:rPr>
        <w:instrText>2</w:instrText>
      </w:r>
      <w:r>
        <w:instrText>)</w:instrText>
      </w:r>
      <w:r>
        <w:fldChar w:fldCharType="end"/>
      </w:r>
      <w:r>
        <w:t xml:space="preserve"> and </w:t>
      </w:r>
      <w:r>
        <w:fldChar w:fldCharType="begin"/>
      </w:r>
      <w:r>
        <w:instrText xml:space="preserve"> EQ </w:instrText>
      </w:r>
      <w:r>
        <w:rPr>
          <w:i/>
          <w:iCs/>
        </w:rPr>
        <w:instrText>C</w:instrText>
      </w:r>
      <w:r>
        <w:instrText>\s\do6(</w:instrText>
      </w:r>
      <w:r>
        <w:rPr>
          <w:i/>
          <w:iCs/>
          <w:sz w:val="20"/>
          <w:szCs w:val="20"/>
        </w:rPr>
        <w:instrText>sg</w:instrText>
      </w:r>
      <w:r>
        <w:rPr>
          <w:sz w:val="20"/>
          <w:szCs w:val="20"/>
        </w:rPr>
        <w:instrText>1</w:instrText>
      </w:r>
      <w:r>
        <w:instrText>)</w:instrText>
      </w:r>
      <w:r>
        <w:fldChar w:fldCharType="end"/>
      </w:r>
      <w:r>
        <w:t xml:space="preserve"> differ somewhat between the numerical simulation and the Frankfurt landing data. While the numerical simulation data is fit best with distinct values for the constants </w:t>
      </w:r>
      <w:r>
        <w:fldChar w:fldCharType="begin"/>
      </w:r>
      <w:r>
        <w:instrText xml:space="preserve"> EQ </w:instrText>
      </w:r>
      <w:r>
        <w:rPr>
          <w:i/>
          <w:iCs/>
        </w:rPr>
        <w:instrText>C</w:instrText>
      </w:r>
      <w:r>
        <w:instrText>\s\do6(</w:instrText>
      </w:r>
      <w:r>
        <w:rPr>
          <w:i/>
          <w:iCs/>
          <w:sz w:val="20"/>
          <w:szCs w:val="20"/>
        </w:rPr>
        <w:instrText>sg</w:instrText>
      </w:r>
      <w:r>
        <w:rPr>
          <w:sz w:val="20"/>
          <w:szCs w:val="20"/>
        </w:rPr>
        <w:instrText>2</w:instrText>
      </w:r>
      <w:r>
        <w:instrText>)</w:instrText>
      </w:r>
      <w:r>
        <w:fldChar w:fldCharType="end"/>
      </w:r>
      <w:r>
        <w:t xml:space="preserve"> and </w:t>
      </w:r>
      <w:r>
        <w:fldChar w:fldCharType="begin"/>
      </w:r>
      <w:r>
        <w:instrText xml:space="preserve"> EQ </w:instrText>
      </w:r>
      <w:r>
        <w:rPr>
          <w:i/>
          <w:iCs/>
        </w:rPr>
        <w:instrText>C</w:instrText>
      </w:r>
      <w:r>
        <w:instrText>\s\do6(</w:instrText>
      </w:r>
      <w:r>
        <w:rPr>
          <w:i/>
          <w:iCs/>
          <w:sz w:val="20"/>
          <w:szCs w:val="20"/>
        </w:rPr>
        <w:instrText>sg</w:instrText>
      </w:r>
      <w:r>
        <w:rPr>
          <w:sz w:val="20"/>
          <w:szCs w:val="20"/>
        </w:rPr>
        <w:instrText>1</w:instrText>
      </w:r>
      <w:r>
        <w:instrText>)</w:instrText>
      </w:r>
      <w:r>
        <w:fldChar w:fldCharType="end"/>
      </w:r>
      <w:r>
        <w:t>, the large degree of variability in the Frank</w:t>
      </w:r>
      <w:r>
        <w:t xml:space="preserve">furt landing data make it difficult to resolve any differences between the two constants. For this reason, a common value for </w:t>
      </w:r>
      <w:r>
        <w:fldChar w:fldCharType="begin"/>
      </w:r>
      <w:r>
        <w:instrText xml:space="preserve"> EQ </w:instrText>
      </w:r>
      <w:r>
        <w:rPr>
          <w:i/>
          <w:iCs/>
        </w:rPr>
        <w:instrText>C</w:instrText>
      </w:r>
      <w:r>
        <w:instrText>\s\do6(</w:instrText>
      </w:r>
      <w:r>
        <w:rPr>
          <w:i/>
          <w:iCs/>
          <w:sz w:val="20"/>
          <w:szCs w:val="20"/>
        </w:rPr>
        <w:instrText>sg</w:instrText>
      </w:r>
      <w:r>
        <w:rPr>
          <w:sz w:val="20"/>
          <w:szCs w:val="20"/>
        </w:rPr>
        <w:instrText>2</w:instrText>
      </w:r>
      <w:r>
        <w:instrText>)</w:instrText>
      </w:r>
      <w:r>
        <w:fldChar w:fldCharType="end"/>
      </w:r>
      <w:r>
        <w:t xml:space="preserve"> and </w:t>
      </w:r>
      <w:r>
        <w:fldChar w:fldCharType="begin"/>
      </w:r>
      <w:r>
        <w:instrText xml:space="preserve"> EQ </w:instrText>
      </w:r>
      <w:r>
        <w:rPr>
          <w:i/>
          <w:iCs/>
        </w:rPr>
        <w:instrText>C</w:instrText>
      </w:r>
      <w:r>
        <w:instrText>\s\do6(</w:instrText>
      </w:r>
      <w:r>
        <w:rPr>
          <w:i/>
          <w:iCs/>
          <w:sz w:val="20"/>
          <w:szCs w:val="20"/>
        </w:rPr>
        <w:instrText>sg</w:instrText>
      </w:r>
      <w:r>
        <w:rPr>
          <w:sz w:val="20"/>
          <w:szCs w:val="20"/>
        </w:rPr>
        <w:instrText>1</w:instrText>
      </w:r>
      <w:r>
        <w:instrText>)</w:instrText>
      </w:r>
      <w:r>
        <w:fldChar w:fldCharType="end"/>
      </w:r>
      <w:r>
        <w:t xml:space="preserve"> is used for the landing data. The single value fits the data reasonably well and has the</w:t>
      </w:r>
      <w:r>
        <w:t xml:space="preserve"> side benefit of simplifying the model slightly. Table </w:t>
      </w:r>
      <w:fldSimple w:instr="REF BMtable_sg_coefs \* MERGEFORMAT ">
        <w:r>
          <w:t>3</w:t>
        </w:r>
      </w:fldSimple>
      <w:r>
        <w:t xml:space="preserve"> summarizes the values used for both the simulation and the landing data.</w:t>
      </w:r>
    </w:p>
    <w:p w:rsidR="00000000" w:rsidRDefault="00B4505B">
      <w:pPr>
        <w:pStyle w:val="Table"/>
        <w:spacing w:before="240"/>
        <w:rPr>
          <w:sz w:val="24"/>
          <w:szCs w:val="24"/>
        </w:rPr>
      </w:pPr>
    </w:p>
    <w:p w:rsidR="00000000" w:rsidRDefault="00B4505B">
      <w:pPr>
        <w:pStyle w:val="Table"/>
        <w:rPr>
          <w:sz w:val="24"/>
          <w:szCs w:val="24"/>
        </w:rPr>
      </w:pPr>
    </w:p>
    <w:tbl>
      <w:tblPr>
        <w:tblW w:w="0" w:type="auto"/>
        <w:tblInd w:w="8" w:type="dxa"/>
        <w:tblLayout w:type="fixed"/>
        <w:tblCellMar>
          <w:left w:w="0" w:type="dxa"/>
          <w:right w:w="0" w:type="dxa"/>
        </w:tblCellMar>
        <w:tblLook w:val="0000"/>
      </w:tblPr>
      <w:tblGrid>
        <w:gridCol w:w="3181"/>
        <w:gridCol w:w="1559"/>
        <w:gridCol w:w="1559"/>
        <w:gridCol w:w="2370"/>
      </w:tblGrid>
      <w:tr w:rsidR="00000000">
        <w:tblPrEx>
          <w:tblCellMar>
            <w:top w:w="0" w:type="dxa"/>
            <w:left w:w="0" w:type="dxa"/>
            <w:bottom w:w="0" w:type="dxa"/>
            <w:right w:w="0" w:type="dxa"/>
          </w:tblCellMar>
        </w:tblPrEx>
        <w:tc>
          <w:tcPr>
            <w:tcW w:w="3181" w:type="dxa"/>
            <w:tcBorders>
              <w:top w:val="single" w:sz="6" w:space="0" w:color="auto"/>
              <w:left w:val="single" w:sz="6" w:space="0" w:color="auto"/>
              <w:bottom w:val="single" w:sz="6" w:space="0" w:color="auto"/>
              <w:right w:val="single" w:sz="6" w:space="0" w:color="auto"/>
            </w:tcBorders>
          </w:tcPr>
          <w:p w:rsidR="00000000" w:rsidRDefault="00B4505B">
            <w:pPr>
              <w:jc w:val="center"/>
            </w:pPr>
            <w:r>
              <w:t xml:space="preserve"> Case</w:t>
            </w:r>
          </w:p>
        </w:tc>
        <w:tc>
          <w:tcPr>
            <w:tcW w:w="1559" w:type="dxa"/>
            <w:tcBorders>
              <w:top w:val="single" w:sz="6" w:space="0" w:color="auto"/>
              <w:left w:val="single" w:sz="6" w:space="0" w:color="auto"/>
              <w:bottom w:val="single" w:sz="6" w:space="0" w:color="auto"/>
              <w:right w:val="single" w:sz="6" w:space="0" w:color="auto"/>
            </w:tcBorders>
          </w:tcPr>
          <w:p w:rsidR="00000000" w:rsidRDefault="00B4505B">
            <w:pPr>
              <w:jc w:val="center"/>
            </w:pPr>
            <w:r>
              <w:fldChar w:fldCharType="begin"/>
            </w:r>
            <w:r>
              <w:instrText xml:space="preserve"> EQ </w:instrText>
            </w:r>
            <w:r>
              <w:rPr>
                <w:i/>
                <w:iCs/>
              </w:rPr>
              <w:instrText>C</w:instrText>
            </w:r>
            <w:r>
              <w:instrText>\s\do6(</w:instrText>
            </w:r>
            <w:r>
              <w:rPr>
                <w:i/>
                <w:iCs/>
                <w:sz w:val="20"/>
                <w:szCs w:val="20"/>
              </w:rPr>
              <w:instrText>sg</w:instrText>
            </w:r>
            <w:r>
              <w:rPr>
                <w:sz w:val="20"/>
                <w:szCs w:val="20"/>
              </w:rPr>
              <w:instrText>1</w:instrText>
            </w:r>
            <w:r>
              <w:instrText>)</w:instrText>
            </w:r>
            <w:r>
              <w:fldChar w:fldCharType="end"/>
            </w:r>
          </w:p>
        </w:tc>
        <w:tc>
          <w:tcPr>
            <w:tcW w:w="1559" w:type="dxa"/>
            <w:tcBorders>
              <w:top w:val="single" w:sz="6" w:space="0" w:color="auto"/>
              <w:left w:val="single" w:sz="6" w:space="0" w:color="auto"/>
              <w:bottom w:val="single" w:sz="6" w:space="0" w:color="auto"/>
              <w:right w:val="single" w:sz="6" w:space="0" w:color="auto"/>
            </w:tcBorders>
          </w:tcPr>
          <w:p w:rsidR="00000000" w:rsidRDefault="00B4505B">
            <w:pPr>
              <w:jc w:val="center"/>
            </w:pPr>
            <w:r>
              <w:fldChar w:fldCharType="begin"/>
            </w:r>
            <w:r>
              <w:instrText xml:space="preserve"> EQ </w:instrText>
            </w:r>
            <w:r>
              <w:rPr>
                <w:i/>
                <w:iCs/>
              </w:rPr>
              <w:instrText>C</w:instrText>
            </w:r>
            <w:r>
              <w:instrText>\s\do6(</w:instrText>
            </w:r>
            <w:r>
              <w:rPr>
                <w:i/>
                <w:iCs/>
                <w:sz w:val="20"/>
                <w:szCs w:val="20"/>
              </w:rPr>
              <w:instrText>sg</w:instrText>
            </w:r>
            <w:r>
              <w:rPr>
                <w:sz w:val="20"/>
                <w:szCs w:val="20"/>
              </w:rPr>
              <w:instrText>2</w:instrText>
            </w:r>
            <w:r>
              <w:instrText>)</w:instrText>
            </w:r>
            <w:r>
              <w:fldChar w:fldCharType="end"/>
            </w:r>
          </w:p>
        </w:tc>
        <w:tc>
          <w:tcPr>
            <w:tcW w:w="2370" w:type="dxa"/>
            <w:tcBorders>
              <w:top w:val="single" w:sz="6" w:space="0" w:color="auto"/>
              <w:left w:val="single" w:sz="6" w:space="0" w:color="auto"/>
              <w:bottom w:val="single" w:sz="6" w:space="0" w:color="auto"/>
              <w:right w:val="single" w:sz="6" w:space="0" w:color="auto"/>
            </w:tcBorders>
          </w:tcPr>
          <w:p w:rsidR="00000000" w:rsidRDefault="00B4505B">
            <w:pPr>
              <w:jc w:val="center"/>
            </w:pPr>
            <w:r>
              <w:fldChar w:fldCharType="begin"/>
            </w:r>
            <w:r>
              <w:instrText xml:space="preserve"> EQ </w:instrText>
            </w:r>
            <w:r>
              <w:rPr>
                <w:i/>
                <w:iCs/>
              </w:rPr>
              <w:instrText>t</w:instrText>
            </w:r>
            <w:r>
              <w:instrText>\s\up(</w:instrText>
            </w:r>
            <w:r>
              <w:rPr>
                <w:sz w:val="20"/>
                <w:szCs w:val="20"/>
              </w:rPr>
              <w:instrText>*,</w:instrText>
            </w:r>
            <w:r>
              <w:rPr>
                <w:i/>
                <w:iCs/>
                <w:sz w:val="20"/>
                <w:szCs w:val="20"/>
              </w:rPr>
              <w:instrText>rollup</w:instrText>
            </w:r>
            <w:r>
              <w:instrText>)</w:instrText>
            </w:r>
            <w:r>
              <w:fldChar w:fldCharType="end"/>
            </w:r>
          </w:p>
        </w:tc>
      </w:tr>
      <w:tr w:rsidR="00000000">
        <w:tblPrEx>
          <w:tblCellMar>
            <w:top w:w="0" w:type="dxa"/>
            <w:left w:w="0" w:type="dxa"/>
            <w:bottom w:w="0" w:type="dxa"/>
            <w:right w:w="0" w:type="dxa"/>
          </w:tblCellMar>
        </w:tblPrEx>
        <w:tc>
          <w:tcPr>
            <w:tcW w:w="3181" w:type="dxa"/>
            <w:tcBorders>
              <w:top w:val="nil"/>
              <w:left w:val="single" w:sz="6" w:space="0" w:color="auto"/>
              <w:bottom w:val="single" w:sz="6" w:space="0" w:color="auto"/>
              <w:right w:val="single" w:sz="6" w:space="0" w:color="auto"/>
            </w:tcBorders>
          </w:tcPr>
          <w:p w:rsidR="00000000" w:rsidRDefault="00B4505B">
            <w:pPr>
              <w:jc w:val="center"/>
            </w:pPr>
            <w:r>
              <w:t xml:space="preserve"> Simulation</w:t>
            </w:r>
          </w:p>
        </w:tc>
        <w:tc>
          <w:tcPr>
            <w:tcW w:w="1559" w:type="dxa"/>
            <w:tcBorders>
              <w:top w:val="nil"/>
              <w:left w:val="single" w:sz="6" w:space="0" w:color="auto"/>
              <w:bottom w:val="single" w:sz="6" w:space="0" w:color="auto"/>
              <w:right w:val="single" w:sz="6" w:space="0" w:color="auto"/>
            </w:tcBorders>
          </w:tcPr>
          <w:p w:rsidR="00000000" w:rsidRDefault="00B4505B">
            <w:pPr>
              <w:jc w:val="center"/>
            </w:pPr>
            <w:r>
              <w:t>0.35</w:t>
            </w:r>
          </w:p>
        </w:tc>
        <w:tc>
          <w:tcPr>
            <w:tcW w:w="1559" w:type="dxa"/>
            <w:tcBorders>
              <w:top w:val="nil"/>
              <w:left w:val="single" w:sz="6" w:space="0" w:color="auto"/>
              <w:bottom w:val="single" w:sz="6" w:space="0" w:color="auto"/>
              <w:right w:val="single" w:sz="6" w:space="0" w:color="auto"/>
            </w:tcBorders>
          </w:tcPr>
          <w:p w:rsidR="00000000" w:rsidRDefault="00B4505B">
            <w:pPr>
              <w:jc w:val="center"/>
            </w:pPr>
            <w:r>
              <w:t>0.70</w:t>
            </w:r>
          </w:p>
        </w:tc>
        <w:tc>
          <w:tcPr>
            <w:tcW w:w="2370" w:type="dxa"/>
            <w:tcBorders>
              <w:top w:val="nil"/>
              <w:left w:val="single" w:sz="6" w:space="0" w:color="auto"/>
              <w:bottom w:val="single" w:sz="6" w:space="0" w:color="auto"/>
              <w:right w:val="single" w:sz="6" w:space="0" w:color="auto"/>
            </w:tcBorders>
          </w:tcPr>
          <w:p w:rsidR="00000000" w:rsidRDefault="00B4505B">
            <w:pPr>
              <w:jc w:val="center"/>
            </w:pPr>
            <w:r>
              <w:t>0.0</w:t>
            </w:r>
          </w:p>
        </w:tc>
      </w:tr>
      <w:tr w:rsidR="00000000">
        <w:tblPrEx>
          <w:tblCellMar>
            <w:top w:w="0" w:type="dxa"/>
            <w:left w:w="0" w:type="dxa"/>
            <w:bottom w:w="0" w:type="dxa"/>
            <w:right w:w="0" w:type="dxa"/>
          </w:tblCellMar>
        </w:tblPrEx>
        <w:tc>
          <w:tcPr>
            <w:tcW w:w="3181" w:type="dxa"/>
            <w:tcBorders>
              <w:top w:val="nil"/>
              <w:left w:val="single" w:sz="6" w:space="0" w:color="auto"/>
              <w:bottom w:val="single" w:sz="6" w:space="0" w:color="auto"/>
              <w:right w:val="single" w:sz="6" w:space="0" w:color="auto"/>
            </w:tcBorders>
          </w:tcPr>
          <w:p w:rsidR="00000000" w:rsidRDefault="00B4505B">
            <w:pPr>
              <w:jc w:val="center"/>
            </w:pPr>
            <w:r>
              <w:t xml:space="preserve"> Landing Data</w:t>
            </w:r>
          </w:p>
        </w:tc>
        <w:tc>
          <w:tcPr>
            <w:tcW w:w="1559" w:type="dxa"/>
            <w:tcBorders>
              <w:top w:val="nil"/>
              <w:left w:val="single" w:sz="6" w:space="0" w:color="auto"/>
              <w:bottom w:val="single" w:sz="6" w:space="0" w:color="auto"/>
              <w:right w:val="single" w:sz="6" w:space="0" w:color="auto"/>
            </w:tcBorders>
          </w:tcPr>
          <w:p w:rsidR="00000000" w:rsidRDefault="00B4505B">
            <w:pPr>
              <w:jc w:val="center"/>
            </w:pPr>
            <w:r>
              <w:t>0.35</w:t>
            </w:r>
          </w:p>
        </w:tc>
        <w:tc>
          <w:tcPr>
            <w:tcW w:w="1559" w:type="dxa"/>
            <w:tcBorders>
              <w:top w:val="nil"/>
              <w:left w:val="single" w:sz="6" w:space="0" w:color="auto"/>
              <w:bottom w:val="single" w:sz="6" w:space="0" w:color="auto"/>
              <w:right w:val="single" w:sz="6" w:space="0" w:color="auto"/>
            </w:tcBorders>
          </w:tcPr>
          <w:p w:rsidR="00000000" w:rsidRDefault="00B4505B">
            <w:pPr>
              <w:jc w:val="center"/>
            </w:pPr>
            <w:r>
              <w:t>0.35</w:t>
            </w:r>
          </w:p>
        </w:tc>
        <w:tc>
          <w:tcPr>
            <w:tcW w:w="2370" w:type="dxa"/>
            <w:tcBorders>
              <w:top w:val="nil"/>
              <w:left w:val="single" w:sz="6" w:space="0" w:color="auto"/>
              <w:bottom w:val="single" w:sz="6" w:space="0" w:color="auto"/>
              <w:right w:val="single" w:sz="6" w:space="0" w:color="auto"/>
            </w:tcBorders>
          </w:tcPr>
          <w:p w:rsidR="00000000" w:rsidRDefault="00B4505B">
            <w:pPr>
              <w:jc w:val="center"/>
            </w:pPr>
            <w:r>
              <w:t>0.5</w:t>
            </w:r>
          </w:p>
        </w:tc>
      </w:tr>
    </w:tbl>
    <w:p w:rsidR="00000000" w:rsidRDefault="00B4505B">
      <w:pPr>
        <w:pStyle w:val="Table"/>
        <w:spacing w:before="240"/>
        <w:rPr>
          <w:sz w:val="24"/>
          <w:szCs w:val="24"/>
        </w:rPr>
      </w:pPr>
      <w:r>
        <w:rPr>
          <w:sz w:val="24"/>
          <w:szCs w:val="24"/>
        </w:rPr>
        <w:t xml:space="preserve"> </w:t>
      </w:r>
    </w:p>
    <w:p w:rsidR="00000000" w:rsidRDefault="00B4505B">
      <w:pPr>
        <w:pStyle w:val="Caption"/>
      </w:pPr>
      <w:r>
        <w:t xml:space="preserve">Table </w:t>
      </w:r>
      <w:bookmarkStart w:id="58" w:name="BMtable_sg_coefs"/>
      <w:r>
        <w:t>3</w:t>
      </w:r>
      <w:bookmarkEnd w:id="58"/>
      <w:r>
        <w:t>:  Crosswind shear gradient induced circulation asymmetry parameters.</w:t>
      </w:r>
      <w:r>
        <w:fldChar w:fldCharType="begin"/>
      </w:r>
      <w:r>
        <w:instrText>TC "3  Crosswind shear gradient induced circulation asymmetry parameters." \f t</w:instrText>
      </w:r>
      <w:r>
        <w:fldChar w:fldCharType="end"/>
      </w:r>
    </w:p>
    <w:p w:rsidR="00000000" w:rsidRDefault="00B4505B">
      <w:pPr>
        <w:spacing w:before="240"/>
        <w:ind w:firstLine="360"/>
      </w:pPr>
      <w:r>
        <w:t xml:space="preserve">Asymmetry in the primary </w:t>
      </w:r>
      <w:r>
        <w:t>vortex circulation results in a net circulation that must be distributed among the halo vortices if the system is to conserve total circulation. This distribution naturally takes the form of a partition scheme analogous to that developed for the diffused p</w:t>
      </w:r>
      <w:r>
        <w:t xml:space="preserve">rimary circulation. The quantity to be partitioned is </w:t>
      </w:r>
    </w:p>
    <w:p w:rsidR="00000000" w:rsidRDefault="00B4505B">
      <w:pPr>
        <w:pStyle w:val="equationNum"/>
        <w:tabs>
          <w:tab w:val="center" w:pos="4336"/>
          <w:tab w:val="right" w:pos="8672"/>
        </w:tabs>
      </w:pPr>
      <w:r>
        <w:tab/>
      </w:r>
      <w:r>
        <w:fldChar w:fldCharType="begin"/>
      </w:r>
      <w:r>
        <w:instrText xml:space="preserve"> EQ </w:instrText>
      </w:r>
      <w:r>
        <w:instrText>Γ</w:instrText>
      </w:r>
      <w:r>
        <w:instrText>\s\do6(</w:instrText>
      </w:r>
      <w:r>
        <w:rPr>
          <w:i/>
          <w:iCs/>
          <w:sz w:val="20"/>
          <w:szCs w:val="20"/>
        </w:rPr>
        <w:instrText>sg</w:instrText>
      </w:r>
      <w:r>
        <w:instrText>)=</w:instrText>
      </w:r>
      <w:r>
        <w:instrText>−</w:instrText>
      </w:r>
      <w:r>
        <w:instrText>(</w:instrText>
      </w:r>
      <w:r>
        <w:instrText>Γ</w:instrText>
      </w:r>
      <w:r>
        <w:instrText>\s\do6(</w:instrText>
      </w:r>
      <w:r>
        <w:rPr>
          <w:i/>
          <w:iCs/>
          <w:sz w:val="20"/>
          <w:szCs w:val="20"/>
        </w:rPr>
        <w:instrText>p</w:instrText>
      </w:r>
      <w:r>
        <w:instrText>)+</w:instrText>
      </w:r>
      <w:r>
        <w:instrText>Γ</w:instrText>
      </w:r>
      <w:r>
        <w:instrText>\s\do6(</w:instrText>
      </w:r>
      <w:r>
        <w:rPr>
          <w:i/>
          <w:iCs/>
          <w:sz w:val="20"/>
          <w:szCs w:val="20"/>
        </w:rPr>
        <w:instrText>s</w:instrText>
      </w:r>
      <w:r>
        <w:instrText>))</w:instrText>
      </w:r>
      <w:r>
        <w:fldChar w:fldCharType="end"/>
      </w:r>
      <w:r>
        <w:tab/>
        <w:t>(39)</w:t>
      </w:r>
    </w:p>
    <w:p w:rsidR="00000000" w:rsidRDefault="00B4505B">
      <w:r>
        <w:t xml:space="preserve">Since </w:t>
      </w:r>
      <w:r>
        <w:fldChar w:fldCharType="begin"/>
      </w:r>
      <w:r>
        <w:instrText xml:space="preserve"> EQ </w:instrText>
      </w:r>
      <w:r>
        <w:instrText>Γ</w:instrText>
      </w:r>
      <w:r>
        <w:instrText>\s\do6(</w:instrText>
      </w:r>
      <w:r>
        <w:rPr>
          <w:i/>
          <w:iCs/>
          <w:sz w:val="20"/>
          <w:szCs w:val="20"/>
        </w:rPr>
        <w:instrText>p</w:instrText>
      </w:r>
      <w:r>
        <w:instrText>)</w:instrText>
      </w:r>
      <w:r>
        <w:fldChar w:fldCharType="end"/>
      </w:r>
      <w:r>
        <w:t xml:space="preserve"> and </w:t>
      </w:r>
      <w:r>
        <w:fldChar w:fldCharType="begin"/>
      </w:r>
      <w:r>
        <w:instrText xml:space="preserve"> EQ </w:instrText>
      </w:r>
      <w:r>
        <w:instrText>Γ</w:instrText>
      </w:r>
      <w:r>
        <w:instrText>\s\do6(</w:instrText>
      </w:r>
      <w:r>
        <w:rPr>
          <w:i/>
          <w:iCs/>
          <w:sz w:val="20"/>
          <w:szCs w:val="20"/>
        </w:rPr>
        <w:instrText>s</w:instrText>
      </w:r>
      <w:r>
        <w:instrText>)</w:instrText>
      </w:r>
      <w:r>
        <w:fldChar w:fldCharType="end"/>
      </w:r>
      <w:r>
        <w:t xml:space="preserve"> are of opposite signs, </w:t>
      </w:r>
      <w:r>
        <w:fldChar w:fldCharType="begin"/>
      </w:r>
      <w:r>
        <w:instrText xml:space="preserve"> EQ </w:instrText>
      </w:r>
      <w:r>
        <w:instrText>Γ</w:instrText>
      </w:r>
      <w:r>
        <w:instrText>\s\do6(</w:instrText>
      </w:r>
      <w:r>
        <w:rPr>
          <w:i/>
          <w:iCs/>
          <w:sz w:val="20"/>
          <w:szCs w:val="20"/>
        </w:rPr>
        <w:instrText>sg</w:instrText>
      </w:r>
      <w:r>
        <w:instrText>)</w:instrText>
      </w:r>
      <w:r>
        <w:fldChar w:fldCharType="end"/>
      </w:r>
      <w:r>
        <w:t xml:space="preserve"> will vanish unless there is an difference in magnitude in the circulations of the two primary vortices. When there is a difference, the sign of </w:t>
      </w:r>
      <w:r>
        <w:fldChar w:fldCharType="begin"/>
      </w:r>
      <w:r>
        <w:instrText xml:space="preserve"> EQ </w:instrText>
      </w:r>
      <w:r>
        <w:instrText>Γ</w:instrText>
      </w:r>
      <w:r>
        <w:instrText>\s\do6(</w:instrText>
      </w:r>
      <w:r>
        <w:rPr>
          <w:i/>
          <w:iCs/>
          <w:sz w:val="20"/>
          <w:szCs w:val="20"/>
        </w:rPr>
        <w:instrText>sg</w:instrText>
      </w:r>
      <w:r>
        <w:instrText>)</w:instrText>
      </w:r>
      <w:r>
        <w:fldChar w:fldCharType="end"/>
      </w:r>
      <w:r>
        <w:t xml:space="preserve"> is dependent on the sign of </w:t>
      </w:r>
      <w:r>
        <w:fldChar w:fldCharType="begin"/>
      </w:r>
      <w:r>
        <w:instrText xml:space="preserve"> EQ </w:instrText>
      </w:r>
      <w:r>
        <w:rPr>
          <w:i/>
          <w:iCs/>
        </w:rPr>
        <w:instrText>sg</w:instrText>
      </w:r>
      <w:r>
        <w:instrText>\s\up6(</w:instrText>
      </w:r>
      <w:r>
        <w:rPr>
          <w:sz w:val="20"/>
          <w:szCs w:val="20"/>
        </w:rPr>
        <w:instrText>*</w:instrText>
      </w:r>
      <w:r>
        <w:instrText>)</w:instrText>
      </w:r>
      <w:r>
        <w:fldChar w:fldCharType="end"/>
      </w:r>
      <w:r>
        <w:t>, and thus automatically adjusts for the sense o</w:t>
      </w:r>
      <w:r>
        <w:t xml:space="preserve">f the shear gradient. In principle </w:t>
      </w:r>
      <w:r>
        <w:fldChar w:fldCharType="begin"/>
      </w:r>
      <w:r>
        <w:instrText xml:space="preserve"> EQ </w:instrText>
      </w:r>
      <w:r>
        <w:instrText>Γ</w:instrText>
      </w:r>
      <w:r>
        <w:instrText>\s\do6(</w:instrText>
      </w:r>
      <w:r>
        <w:rPr>
          <w:i/>
          <w:iCs/>
          <w:sz w:val="20"/>
          <w:szCs w:val="20"/>
        </w:rPr>
        <w:instrText>sg</w:instrText>
      </w:r>
      <w:r>
        <w:instrText>)</w:instrText>
      </w:r>
      <w:r>
        <w:fldChar w:fldCharType="end"/>
      </w:r>
      <w:r>
        <w:t xml:space="preserve"> can be partitioned in an arbitrary manner among the six halo vortices. In practice, we have obtained satisfactory results with a simpler scheme where half of </w:t>
      </w:r>
      <w:r>
        <w:fldChar w:fldCharType="begin"/>
      </w:r>
      <w:r>
        <w:instrText xml:space="preserve"> EQ </w:instrText>
      </w:r>
      <w:r>
        <w:instrText>Γ</w:instrText>
      </w:r>
      <w:r>
        <w:instrText>\s\do6(</w:instrText>
      </w:r>
      <w:r>
        <w:rPr>
          <w:i/>
          <w:iCs/>
          <w:sz w:val="20"/>
          <w:szCs w:val="20"/>
        </w:rPr>
        <w:instrText>sg</w:instrText>
      </w:r>
      <w:r>
        <w:instrText>)</w:instrText>
      </w:r>
      <w:r>
        <w:fldChar w:fldCharType="end"/>
      </w:r>
      <w:r>
        <w:t xml:space="preserve"> is allocated to the three h</w:t>
      </w:r>
      <w:r>
        <w:t>alo vortices on the port side, and the other half is allocated to the halo vortices on the starboard side. This approach has the advantage that only two partition factors need to be determined for each half of the halo vortex system. Since the crosswind sh</w:t>
      </w:r>
      <w:r>
        <w:t>ear gradient induced circulation is additive to the primary diffused circulation and baroclinically-generated circulation, the partition scheme given by Eq. (</w:t>
      </w:r>
      <w:fldSimple w:instr="REF BMeq_adjusted_circs_123 \* MERGEFORMAT ">
        <w:r>
          <w:t>35</w:t>
        </w:r>
      </w:fldSimple>
      <w:r>
        <w:t xml:space="preserve">) (for the port side) is modified to give </w:t>
      </w:r>
    </w:p>
    <w:p w:rsidR="00000000" w:rsidRDefault="00B4505B">
      <w:pPr>
        <w:pStyle w:val="equationArrayNum"/>
        <w:tabs>
          <w:tab w:val="right" w:pos="3902"/>
          <w:tab w:val="center" w:pos="4336"/>
          <w:tab w:val="left" w:pos="4769"/>
          <w:tab w:val="right" w:pos="8672"/>
        </w:tabs>
      </w:pPr>
      <w:r>
        <w:lastRenderedPageBreak/>
        <w:tab/>
      </w:r>
      <w:r>
        <w:fldChar w:fldCharType="begin"/>
      </w:r>
      <w:r>
        <w:instrText xml:space="preserve"> EQ </w:instrText>
      </w:r>
      <w:r>
        <w:instrText>Γ</w:instrText>
      </w:r>
      <w:r>
        <w:instrText>\</w:instrText>
      </w:r>
      <w:r>
        <w:instrText>s\do6(</w:instrText>
      </w:r>
      <w:r>
        <w:rPr>
          <w:sz w:val="20"/>
          <w:szCs w:val="20"/>
        </w:rPr>
        <w:instrText>1</w:instrText>
      </w:r>
      <w:r>
        <w:instrText>)</w:instrText>
      </w:r>
      <w:r>
        <w:fldChar w:fldCharType="end"/>
      </w:r>
      <w:r>
        <w:tab/>
      </w:r>
      <w:r>
        <w:fldChar w:fldCharType="begin"/>
      </w:r>
      <w:r>
        <w:instrText xml:space="preserve"> EQ =</w:instrText>
      </w:r>
      <w:r>
        <w:fldChar w:fldCharType="end"/>
      </w:r>
      <w:r>
        <w:tab/>
      </w:r>
      <w:r>
        <w:fldChar w:fldCharType="begin"/>
      </w:r>
      <w:r>
        <w:instrText xml:space="preserve"> EQ </w:instrText>
      </w:r>
      <w:r>
        <w:rPr>
          <w:i/>
          <w:iCs/>
        </w:rPr>
        <w:instrText>f</w:instrText>
      </w:r>
      <w:r>
        <w:instrText>\s\do6(</w:instrText>
      </w:r>
      <w:r>
        <w:rPr>
          <w:sz w:val="20"/>
          <w:szCs w:val="20"/>
        </w:rPr>
        <w:instrText>1</w:instrText>
      </w:r>
      <w:r>
        <w:instrText>)</w:instrText>
      </w:r>
      <w:r>
        <w:instrText>Γ</w:instrText>
      </w:r>
      <w:r>
        <w:instrText>\s\do6(</w:instrText>
      </w:r>
      <w:r>
        <w:rPr>
          <w:i/>
          <w:iCs/>
          <w:sz w:val="20"/>
          <w:szCs w:val="20"/>
        </w:rPr>
        <w:instrText>h</w:instrText>
      </w:r>
      <w:r>
        <w:instrText>)+</w:instrText>
      </w:r>
      <w:r>
        <w:rPr>
          <w:i/>
          <w:iCs/>
        </w:rPr>
        <w:instrText>f</w:instrText>
      </w:r>
      <w:r>
        <w:instrText>\s\do6(</w:instrText>
      </w:r>
      <w:r>
        <w:rPr>
          <w:i/>
          <w:iCs/>
          <w:sz w:val="20"/>
          <w:szCs w:val="20"/>
        </w:rPr>
        <w:instrText>b</w:instrText>
      </w:r>
      <w:r>
        <w:rPr>
          <w:sz w:val="20"/>
          <w:szCs w:val="20"/>
        </w:rPr>
        <w:instrText>1</w:instrText>
      </w:r>
      <w:r>
        <w:instrText>)</w:instrText>
      </w:r>
      <w:r>
        <w:rPr>
          <w:rFonts w:ascii="STIXGeneral" w:hAnsi="STIXGeneral" w:cs="STIXGeneral"/>
        </w:rPr>
        <w:instrText>̃</w:instrText>
      </w:r>
      <w:r>
        <w:instrText>Γ</w:instrText>
      </w:r>
      <w:r>
        <w:instrText>\s\do6(</w:instrText>
      </w:r>
      <w:r>
        <w:rPr>
          <w:i/>
          <w:iCs/>
          <w:sz w:val="20"/>
          <w:szCs w:val="20"/>
        </w:rPr>
        <w:instrText>b</w:instrText>
      </w:r>
      <w:r>
        <w:instrText>)+</w:instrText>
      </w:r>
      <w:r>
        <w:rPr>
          <w:i/>
          <w:iCs/>
        </w:rPr>
        <w:instrText>f</w:instrText>
      </w:r>
      <w:r>
        <w:instrText>\s\do6(</w:instrText>
      </w:r>
      <w:r>
        <w:rPr>
          <w:i/>
          <w:iCs/>
          <w:sz w:val="20"/>
          <w:szCs w:val="20"/>
        </w:rPr>
        <w:instrText>sg</w:instrText>
      </w:r>
      <w:r>
        <w:rPr>
          <w:sz w:val="20"/>
          <w:szCs w:val="20"/>
        </w:rPr>
        <w:instrText>1</w:instrText>
      </w:r>
      <w:r>
        <w:instrText>) \b ( \F(</w:instrText>
      </w:r>
      <w:r>
        <w:instrText>Γ</w:instrText>
      </w:r>
      <w:r>
        <w:instrText>\s\do6(</w:instrText>
      </w:r>
      <w:r>
        <w:rPr>
          <w:i/>
          <w:iCs/>
          <w:sz w:val="20"/>
          <w:szCs w:val="20"/>
        </w:rPr>
        <w:instrText>sg</w:instrText>
      </w:r>
      <w:r>
        <w:instrText>),2))</w:instrText>
      </w:r>
      <w:r>
        <w:fldChar w:fldCharType="end"/>
      </w:r>
    </w:p>
    <w:p w:rsidR="00000000" w:rsidRDefault="00B4505B">
      <w:pPr>
        <w:pStyle w:val="equationArrayNum"/>
        <w:tabs>
          <w:tab w:val="right" w:pos="3902"/>
          <w:tab w:val="center" w:pos="4336"/>
          <w:tab w:val="left" w:pos="4769"/>
          <w:tab w:val="right" w:pos="8672"/>
        </w:tabs>
      </w:pPr>
      <w:r>
        <w:tab/>
      </w:r>
      <w:r>
        <w:fldChar w:fldCharType="begin"/>
      </w:r>
      <w:r>
        <w:instrText xml:space="preserve"> EQ </w:instrText>
      </w:r>
      <w:r>
        <w:instrText>Γ</w:instrText>
      </w:r>
      <w:r>
        <w:instrText>\s\do6(</w:instrText>
      </w:r>
      <w:r>
        <w:rPr>
          <w:sz w:val="20"/>
          <w:szCs w:val="20"/>
        </w:rPr>
        <w:instrText>2</w:instrText>
      </w:r>
      <w:r>
        <w:instrText>)</w:instrText>
      </w:r>
      <w:r>
        <w:fldChar w:fldCharType="end"/>
      </w:r>
      <w:r>
        <w:tab/>
      </w:r>
      <w:r>
        <w:fldChar w:fldCharType="begin"/>
      </w:r>
      <w:r>
        <w:instrText xml:space="preserve"> EQ =</w:instrText>
      </w:r>
      <w:r>
        <w:fldChar w:fldCharType="end"/>
      </w:r>
      <w:r>
        <w:tab/>
      </w:r>
      <w:r>
        <w:fldChar w:fldCharType="begin"/>
      </w:r>
      <w:r>
        <w:instrText xml:space="preserve"> EQ </w:instrText>
      </w:r>
      <w:r>
        <w:rPr>
          <w:i/>
          <w:iCs/>
        </w:rPr>
        <w:instrText>f</w:instrText>
      </w:r>
      <w:r>
        <w:instrText>\s\do6(</w:instrText>
      </w:r>
      <w:r>
        <w:rPr>
          <w:sz w:val="20"/>
          <w:szCs w:val="20"/>
        </w:rPr>
        <w:instrText>2</w:instrText>
      </w:r>
      <w:r>
        <w:instrText>)</w:instrText>
      </w:r>
      <w:r>
        <w:instrText>Γ</w:instrText>
      </w:r>
      <w:r>
        <w:instrText>\s\do6(</w:instrText>
      </w:r>
      <w:r>
        <w:rPr>
          <w:i/>
          <w:iCs/>
          <w:sz w:val="20"/>
          <w:szCs w:val="20"/>
        </w:rPr>
        <w:instrText>h</w:instrText>
      </w:r>
      <w:r>
        <w:instrText>)+</w:instrText>
      </w:r>
      <w:r>
        <w:rPr>
          <w:i/>
          <w:iCs/>
        </w:rPr>
        <w:instrText>f</w:instrText>
      </w:r>
      <w:r>
        <w:instrText>\s\do6(</w:instrText>
      </w:r>
      <w:r>
        <w:rPr>
          <w:i/>
          <w:iCs/>
          <w:sz w:val="20"/>
          <w:szCs w:val="20"/>
        </w:rPr>
        <w:instrText>b</w:instrText>
      </w:r>
      <w:r>
        <w:rPr>
          <w:sz w:val="20"/>
          <w:szCs w:val="20"/>
        </w:rPr>
        <w:instrText>2</w:instrText>
      </w:r>
      <w:r>
        <w:instrText>)</w:instrText>
      </w:r>
      <w:r>
        <w:rPr>
          <w:rFonts w:ascii="STIXGeneral" w:hAnsi="STIXGeneral" w:cs="STIXGeneral"/>
        </w:rPr>
        <w:instrText>̃</w:instrText>
      </w:r>
      <w:r>
        <w:instrText>Γ</w:instrText>
      </w:r>
      <w:r>
        <w:instrText>\s\do6(</w:instrText>
      </w:r>
      <w:r>
        <w:rPr>
          <w:i/>
          <w:iCs/>
          <w:sz w:val="20"/>
          <w:szCs w:val="20"/>
        </w:rPr>
        <w:instrText>b</w:instrText>
      </w:r>
      <w:r>
        <w:instrText>)+</w:instrText>
      </w:r>
      <w:r>
        <w:rPr>
          <w:i/>
          <w:iCs/>
        </w:rPr>
        <w:instrText>f</w:instrText>
      </w:r>
      <w:r>
        <w:instrText>\s\do6(</w:instrText>
      </w:r>
      <w:r>
        <w:rPr>
          <w:i/>
          <w:iCs/>
          <w:sz w:val="20"/>
          <w:szCs w:val="20"/>
        </w:rPr>
        <w:instrText>sg</w:instrText>
      </w:r>
      <w:r>
        <w:rPr>
          <w:sz w:val="20"/>
          <w:szCs w:val="20"/>
        </w:rPr>
        <w:instrText>2</w:instrText>
      </w:r>
      <w:r>
        <w:instrText>) \b ( \F(</w:instrText>
      </w:r>
      <w:r>
        <w:instrText>Γ</w:instrText>
      </w:r>
      <w:r>
        <w:instrText>\s\do6(</w:instrText>
      </w:r>
      <w:r>
        <w:rPr>
          <w:i/>
          <w:iCs/>
          <w:sz w:val="20"/>
          <w:szCs w:val="20"/>
        </w:rPr>
        <w:instrText>sg</w:instrText>
      </w:r>
      <w:r>
        <w:instrText>),2))</w:instrText>
      </w:r>
      <w:r>
        <w:fldChar w:fldCharType="end"/>
      </w:r>
      <w:r>
        <w:tab/>
        <w:t>(</w:t>
      </w:r>
      <w:bookmarkStart w:id="59" w:name="BMeq_partition_factors"/>
      <w:r>
        <w:t>40</w:t>
      </w:r>
      <w:bookmarkEnd w:id="59"/>
      <w:r>
        <w:t>)</w:t>
      </w:r>
    </w:p>
    <w:p w:rsidR="00000000" w:rsidRDefault="00B4505B">
      <w:pPr>
        <w:pStyle w:val="equationArrayNum"/>
        <w:tabs>
          <w:tab w:val="right" w:pos="3902"/>
          <w:tab w:val="center" w:pos="4336"/>
          <w:tab w:val="left" w:pos="4769"/>
          <w:tab w:val="right" w:pos="8672"/>
        </w:tabs>
      </w:pPr>
      <w:r>
        <w:tab/>
      </w:r>
      <w:r>
        <w:fldChar w:fldCharType="begin"/>
      </w:r>
      <w:r>
        <w:instrText xml:space="preserve"> EQ </w:instrText>
      </w:r>
      <w:r>
        <w:instrText>Γ</w:instrText>
      </w:r>
      <w:r>
        <w:instrText>\s\do6(</w:instrText>
      </w:r>
      <w:r>
        <w:rPr>
          <w:sz w:val="20"/>
          <w:szCs w:val="20"/>
        </w:rPr>
        <w:instrText>3</w:instrText>
      </w:r>
      <w:r>
        <w:instrText>)</w:instrText>
      </w:r>
      <w:r>
        <w:fldChar w:fldCharType="end"/>
      </w:r>
      <w:r>
        <w:tab/>
      </w:r>
      <w:r>
        <w:fldChar w:fldCharType="begin"/>
      </w:r>
      <w:r>
        <w:instrText xml:space="preserve"> EQ =</w:instrText>
      </w:r>
      <w:r>
        <w:fldChar w:fldCharType="end"/>
      </w:r>
      <w:r>
        <w:tab/>
      </w:r>
      <w:r>
        <w:fldChar w:fldCharType="begin"/>
      </w:r>
      <w:r>
        <w:instrText xml:space="preserve"> EQ (1</w:instrText>
      </w:r>
      <w:r>
        <w:instrText>−</w:instrText>
      </w:r>
      <w:r>
        <w:rPr>
          <w:i/>
          <w:iCs/>
        </w:rPr>
        <w:instrText>f</w:instrText>
      </w:r>
      <w:r>
        <w:instrText>\s\do6(</w:instrText>
      </w:r>
      <w:r>
        <w:rPr>
          <w:sz w:val="20"/>
          <w:szCs w:val="20"/>
        </w:rPr>
        <w:instrText>1</w:instrText>
      </w:r>
      <w:r>
        <w:instrText>)</w:instrText>
      </w:r>
      <w:r>
        <w:instrText>−</w:instrText>
      </w:r>
      <w:r>
        <w:rPr>
          <w:i/>
          <w:iCs/>
        </w:rPr>
        <w:instrText>f</w:instrText>
      </w:r>
      <w:r>
        <w:instrText>\s\do6(</w:instrText>
      </w:r>
      <w:r>
        <w:rPr>
          <w:sz w:val="20"/>
          <w:szCs w:val="20"/>
        </w:rPr>
        <w:instrText>2</w:instrText>
      </w:r>
      <w:r>
        <w:instrText>))</w:instrText>
      </w:r>
      <w:r>
        <w:instrText>Γ</w:instrText>
      </w:r>
      <w:r>
        <w:instrText>\s\do6(</w:instrText>
      </w:r>
      <w:r>
        <w:rPr>
          <w:i/>
          <w:iCs/>
          <w:sz w:val="20"/>
          <w:szCs w:val="20"/>
        </w:rPr>
        <w:instrText>h</w:instrText>
      </w:r>
      <w:r>
        <w:instrText>)+(1</w:instrText>
      </w:r>
      <w:r>
        <w:instrText>−</w:instrText>
      </w:r>
      <w:r>
        <w:rPr>
          <w:i/>
          <w:iCs/>
        </w:rPr>
        <w:instrText>f</w:instrText>
      </w:r>
      <w:r>
        <w:instrText>\s\do6(</w:instrText>
      </w:r>
      <w:r>
        <w:rPr>
          <w:sz w:val="20"/>
          <w:szCs w:val="20"/>
        </w:rPr>
        <w:instrText>1</w:instrText>
      </w:r>
      <w:r>
        <w:instrText>)</w:instrText>
      </w:r>
      <w:r>
        <w:instrText>−</w:instrText>
      </w:r>
      <w:r>
        <w:rPr>
          <w:i/>
          <w:iCs/>
        </w:rPr>
        <w:instrText>f</w:instrText>
      </w:r>
      <w:r>
        <w:instrText>\s\do6(</w:instrText>
      </w:r>
      <w:r>
        <w:rPr>
          <w:sz w:val="20"/>
          <w:szCs w:val="20"/>
        </w:rPr>
        <w:instrText>2</w:instrText>
      </w:r>
      <w:r>
        <w:instrText>))</w:instrText>
      </w:r>
      <w:r>
        <w:instrText>Γ</w:instrText>
      </w:r>
      <w:r>
        <w:instrText>\s\do6(</w:instrText>
      </w:r>
      <w:r>
        <w:rPr>
          <w:i/>
          <w:iCs/>
          <w:sz w:val="20"/>
          <w:szCs w:val="20"/>
        </w:rPr>
        <w:instrText>h</w:instrText>
      </w:r>
      <w:r>
        <w:instrText>)+(1</w:instrText>
      </w:r>
      <w:r>
        <w:instrText>−</w:instrText>
      </w:r>
      <w:r>
        <w:rPr>
          <w:i/>
          <w:iCs/>
        </w:rPr>
        <w:instrText>f</w:instrText>
      </w:r>
      <w:r>
        <w:instrText>\s\do6(</w:instrText>
      </w:r>
      <w:r>
        <w:rPr>
          <w:i/>
          <w:iCs/>
          <w:sz w:val="20"/>
          <w:szCs w:val="20"/>
        </w:rPr>
        <w:instrText>sg</w:instrText>
      </w:r>
      <w:r>
        <w:rPr>
          <w:sz w:val="20"/>
          <w:szCs w:val="20"/>
        </w:rPr>
        <w:instrText>1</w:instrText>
      </w:r>
      <w:r>
        <w:instrText>)</w:instrText>
      </w:r>
      <w:r>
        <w:instrText>−</w:instrText>
      </w:r>
      <w:r>
        <w:rPr>
          <w:i/>
          <w:iCs/>
        </w:rPr>
        <w:instrText>f</w:instrText>
      </w:r>
      <w:r>
        <w:instrText>\s\do6(</w:instrText>
      </w:r>
      <w:r>
        <w:rPr>
          <w:i/>
          <w:iCs/>
          <w:sz w:val="20"/>
          <w:szCs w:val="20"/>
        </w:rPr>
        <w:instrText>sg</w:instrText>
      </w:r>
      <w:r>
        <w:rPr>
          <w:sz w:val="20"/>
          <w:szCs w:val="20"/>
        </w:rPr>
        <w:instrText>2</w:instrText>
      </w:r>
      <w:r>
        <w:instrText>)) \b ( \F(</w:instrText>
      </w:r>
      <w:r>
        <w:instrText>Γ</w:instrText>
      </w:r>
      <w:r>
        <w:instrText>\s\do6(</w:instrText>
      </w:r>
      <w:r>
        <w:rPr>
          <w:i/>
          <w:iCs/>
          <w:sz w:val="20"/>
          <w:szCs w:val="20"/>
        </w:rPr>
        <w:instrText>sg</w:instrText>
      </w:r>
      <w:r>
        <w:instrText>),2))</w:instrText>
      </w:r>
      <w:r>
        <w:fldChar w:fldCharType="end"/>
      </w:r>
    </w:p>
    <w:p w:rsidR="00000000" w:rsidRDefault="00B4505B">
      <w:pPr>
        <w:ind w:firstLine="360"/>
      </w:pPr>
      <w:r>
        <w:t xml:space="preserve">The numerical simulation data was used to determine the partition factors </w:t>
      </w:r>
      <w:r>
        <w:fldChar w:fldCharType="begin"/>
      </w:r>
      <w:r>
        <w:instrText xml:space="preserve"> EQ </w:instrText>
      </w:r>
      <w:r>
        <w:rPr>
          <w:i/>
          <w:iCs/>
        </w:rPr>
        <w:instrText>f</w:instrText>
      </w:r>
      <w:r>
        <w:instrText>\s\do6(</w:instrText>
      </w:r>
      <w:r>
        <w:rPr>
          <w:i/>
          <w:iCs/>
          <w:sz w:val="20"/>
          <w:szCs w:val="20"/>
        </w:rPr>
        <w:instrText>sg</w:instrText>
      </w:r>
      <w:r>
        <w:rPr>
          <w:sz w:val="20"/>
          <w:szCs w:val="20"/>
        </w:rPr>
        <w:instrText>1</w:instrText>
      </w:r>
      <w:r>
        <w:instrText>)</w:instrText>
      </w:r>
      <w:r>
        <w:fldChar w:fldCharType="end"/>
      </w:r>
      <w:r>
        <w:t xml:space="preserve">, </w:t>
      </w:r>
      <w:r>
        <w:fldChar w:fldCharType="begin"/>
      </w:r>
      <w:r>
        <w:instrText xml:space="preserve"> EQ </w:instrText>
      </w:r>
      <w:r>
        <w:rPr>
          <w:i/>
          <w:iCs/>
        </w:rPr>
        <w:instrText>f</w:instrText>
      </w:r>
      <w:r>
        <w:instrText>\s\do6(</w:instrText>
      </w:r>
      <w:r>
        <w:rPr>
          <w:i/>
          <w:iCs/>
          <w:sz w:val="20"/>
          <w:szCs w:val="20"/>
        </w:rPr>
        <w:instrText>sg</w:instrText>
      </w:r>
      <w:r>
        <w:rPr>
          <w:sz w:val="20"/>
          <w:szCs w:val="20"/>
        </w:rPr>
        <w:instrText>2</w:instrText>
      </w:r>
      <w:r>
        <w:instrText>)</w:instrText>
      </w:r>
      <w:r>
        <w:fldChar w:fldCharType="end"/>
      </w:r>
      <w:r>
        <w:t xml:space="preserve">, </w:t>
      </w:r>
      <w:r>
        <w:fldChar w:fldCharType="begin"/>
      </w:r>
      <w:r>
        <w:instrText xml:space="preserve"> EQ </w:instrText>
      </w:r>
      <w:r>
        <w:rPr>
          <w:i/>
          <w:iCs/>
        </w:rPr>
        <w:instrText>f</w:instrText>
      </w:r>
      <w:r>
        <w:instrText>\s\do6(</w:instrText>
      </w:r>
      <w:r>
        <w:rPr>
          <w:i/>
          <w:iCs/>
          <w:sz w:val="20"/>
          <w:szCs w:val="20"/>
        </w:rPr>
        <w:instrText>sg</w:instrText>
      </w:r>
      <w:r>
        <w:rPr>
          <w:sz w:val="20"/>
          <w:szCs w:val="20"/>
        </w:rPr>
        <w:instrText>5</w:instrText>
      </w:r>
      <w:r>
        <w:instrText>)</w:instrText>
      </w:r>
      <w:r>
        <w:fldChar w:fldCharType="end"/>
      </w:r>
      <w:r>
        <w:t xml:space="preserve">, and </w:t>
      </w:r>
      <w:r>
        <w:fldChar w:fldCharType="begin"/>
      </w:r>
      <w:r>
        <w:instrText xml:space="preserve"> EQ </w:instrText>
      </w:r>
      <w:r>
        <w:rPr>
          <w:i/>
          <w:iCs/>
        </w:rPr>
        <w:instrText>f</w:instrText>
      </w:r>
      <w:r>
        <w:instrText>\s\do6(</w:instrText>
      </w:r>
      <w:r>
        <w:rPr>
          <w:i/>
          <w:iCs/>
          <w:sz w:val="20"/>
          <w:szCs w:val="20"/>
        </w:rPr>
        <w:instrText>sg</w:instrText>
      </w:r>
      <w:r>
        <w:rPr>
          <w:sz w:val="20"/>
          <w:szCs w:val="20"/>
        </w:rPr>
        <w:instrText>6</w:instrText>
      </w:r>
      <w:r>
        <w:instrText>)</w:instrText>
      </w:r>
      <w:r>
        <w:fldChar w:fldCharType="end"/>
      </w:r>
      <w:r>
        <w:t xml:space="preserve">. These factors exhibit variations in time that can be represented adequately with linear fits. Additional accuracy is achieved with with second order polynomials, and we use these here </w:t>
      </w:r>
      <w:r>
        <w:t xml:space="preserve">for demonstration purposes. The success of the shear gradient component of the model is shown in Figure </w:t>
      </w:r>
      <w:fldSimple w:instr="REF BMfig_vp11_crosswind \* MERGEFORMAT ">
        <w:r>
          <w:t>24</w:t>
        </w:r>
      </w:fldSimple>
      <w:r>
        <w:t>, where the circulation time histories and the vortex trajectories given by the model are compared with the</w:t>
      </w:r>
      <w:r>
        <w:t xml:space="preserve"> numerical simulation data. The model does a excellent job at predicting both the vortex circulation and its position.</w:t>
      </w:r>
    </w:p>
    <w:p w:rsidR="00000000" w:rsidRDefault="00B4505B">
      <w:pPr>
        <w:pStyle w:val="Figure"/>
        <w:spacing w:before="240"/>
        <w:ind w:firstLine="360"/>
        <w:rPr>
          <w:sz w:val="24"/>
          <w:szCs w:val="24"/>
        </w:rPr>
      </w:pPr>
    </w:p>
    <w:p w:rsidR="00000000" w:rsidRDefault="00B4505B">
      <w:pPr>
        <w:pStyle w:val="centerpar"/>
        <w:ind w:firstLine="360"/>
      </w:pPr>
      <w:r>
        <w:drawing>
          <wp:inline distT="0" distB="0" distL="0" distR="0">
            <wp:extent cx="4114800" cy="28829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srcRect/>
                    <a:stretch>
                      <a:fillRect/>
                    </a:stretch>
                  </pic:blipFill>
                  <pic:spPr bwMode="auto">
                    <a:xfrm>
                      <a:off x="0" y="0"/>
                      <a:ext cx="4114800" cy="2882900"/>
                    </a:xfrm>
                    <a:prstGeom prst="rect">
                      <a:avLst/>
                    </a:prstGeom>
                    <a:noFill/>
                    <a:ln w="9525">
                      <a:noFill/>
                      <a:miter lim="800000"/>
                      <a:headEnd/>
                      <a:tailEnd/>
                    </a:ln>
                  </pic:spPr>
                </pic:pic>
              </a:graphicData>
            </a:graphic>
          </wp:inline>
        </w:drawing>
      </w:r>
      <w:r>
        <w:t xml:space="preserve"> </w:t>
      </w:r>
    </w:p>
    <w:p w:rsidR="00000000" w:rsidRDefault="00B4505B">
      <w:pPr>
        <w:pStyle w:val="centerpar"/>
        <w:ind w:firstLine="360"/>
      </w:pPr>
      <w:r>
        <w:lastRenderedPageBreak/>
        <w:drawing>
          <wp:inline distT="0" distB="0" distL="0" distR="0">
            <wp:extent cx="4114800" cy="28829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srcRect/>
                    <a:stretch>
                      <a:fillRect/>
                    </a:stretch>
                  </pic:blipFill>
                  <pic:spPr bwMode="auto">
                    <a:xfrm>
                      <a:off x="0" y="0"/>
                      <a:ext cx="4114800" cy="2882900"/>
                    </a:xfrm>
                    <a:prstGeom prst="rect">
                      <a:avLst/>
                    </a:prstGeom>
                    <a:noFill/>
                    <a:ln w="9525">
                      <a:noFill/>
                      <a:miter lim="800000"/>
                      <a:headEnd/>
                      <a:tailEnd/>
                    </a:ln>
                  </pic:spPr>
                </pic:pic>
              </a:graphicData>
            </a:graphic>
          </wp:inline>
        </w:drawing>
      </w:r>
    </w:p>
    <w:p w:rsidR="00000000" w:rsidRDefault="00B4505B">
      <w:pPr>
        <w:pStyle w:val="Caption"/>
      </w:pPr>
      <w:r>
        <w:t xml:space="preserve">Figure </w:t>
      </w:r>
      <w:bookmarkStart w:id="60" w:name="BMfig_vp11_crosswind"/>
      <w:r>
        <w:t>24</w:t>
      </w:r>
      <w:bookmarkEnd w:id="60"/>
      <w:r>
        <w:t>: Model predi</w:t>
      </w:r>
      <w:r>
        <w:t>ction compared with the numerical simulation data for the crosswind shear gradient case. The top figure shows the circulation decay and the bottom figure shows the vortex trajectory.</w:t>
      </w:r>
      <w:r>
        <w:fldChar w:fldCharType="begin"/>
      </w:r>
      <w:r>
        <w:instrText>TC "24 Model prediction compared with the numerical simulation data for th</w:instrText>
      </w:r>
      <w:r>
        <w:instrText>e crosswind shear gradient case. The top figure shows the circulation decay and the bottom figure shows the vortex trajectory." \f f</w:instrText>
      </w:r>
      <w:r>
        <w:fldChar w:fldCharType="end"/>
      </w:r>
    </w:p>
    <w:p w:rsidR="00000000" w:rsidRDefault="00B4505B">
      <w:pPr>
        <w:spacing w:before="240"/>
        <w:ind w:firstLine="360"/>
      </w:pPr>
      <w:r>
        <w:t>The curve fits for the shear gradient partition factors determined for the numerical simulation proved to be somewhat ina</w:t>
      </w:r>
      <w:r>
        <w:t>ccurate for the Frankfurt landing data. While attempts were made to find appropriate linear or quadratic fits for the landing data, the large variability within these data made it difficult to find fits that would apply across a large number of separate la</w:t>
      </w:r>
      <w:r>
        <w:t xml:space="preserve">nding events. In the end it was determined that constant partition factors worked just as well as more elaborate fits. The values of the constant factors flip between the port and starboard sides with respect to the sign of the shear gradient according to </w:t>
      </w:r>
    </w:p>
    <w:p w:rsidR="00000000" w:rsidRDefault="00B4505B">
      <w:pPr>
        <w:pStyle w:val="equationNum"/>
        <w:tabs>
          <w:tab w:val="center" w:pos="4336"/>
          <w:tab w:val="right" w:pos="8672"/>
        </w:tabs>
      </w:pPr>
      <w:r>
        <w:tab/>
      </w:r>
      <w:r>
        <w:fldChar w:fldCharType="begin"/>
      </w:r>
      <w:r>
        <w:instrText xml:space="preserve"> EQ  \b \rc\} ( \a \ac \co1 (</w:instrText>
      </w:r>
      <w:r>
        <w:rPr>
          <w:i/>
          <w:iCs/>
        </w:rPr>
        <w:instrText>f</w:instrText>
      </w:r>
      <w:r>
        <w:instrText>\s\do6(</w:instrText>
      </w:r>
      <w:r>
        <w:rPr>
          <w:i/>
          <w:iCs/>
          <w:sz w:val="20"/>
          <w:szCs w:val="20"/>
        </w:rPr>
        <w:instrText>sg</w:instrText>
      </w:r>
      <w:r>
        <w:rPr>
          <w:sz w:val="20"/>
          <w:szCs w:val="20"/>
        </w:rPr>
        <w:instrText>1</w:instrText>
      </w:r>
      <w:r>
        <w:instrText>)=</w:instrText>
      </w:r>
      <w:r>
        <w:instrText>−</w:instrText>
      </w:r>
      <w:r>
        <w:instrText>0.5,</w:instrText>
      </w:r>
      <w:r>
        <w:rPr>
          <w:i/>
          <w:iCs/>
        </w:rPr>
        <w:instrText>f</w:instrText>
      </w:r>
      <w:r>
        <w:instrText>\s\do6(</w:instrText>
      </w:r>
      <w:r>
        <w:rPr>
          <w:i/>
          <w:iCs/>
          <w:sz w:val="20"/>
          <w:szCs w:val="20"/>
        </w:rPr>
        <w:instrText>sg</w:instrText>
      </w:r>
      <w:r>
        <w:rPr>
          <w:sz w:val="20"/>
          <w:szCs w:val="20"/>
        </w:rPr>
        <w:instrText>2</w:instrText>
      </w:r>
      <w:r>
        <w:instrText>)=</w:instrText>
      </w:r>
      <w:r>
        <w:instrText>−</w:instrText>
      </w:r>
      <w:r>
        <w:instrText>1.5,</w:instrText>
      </w:r>
      <w:r>
        <w:rPr>
          <w:i/>
          <w:iCs/>
        </w:rPr>
        <w:instrText>f</w:instrText>
      </w:r>
      <w:r>
        <w:instrText>\s\do6(</w:instrText>
      </w:r>
      <w:r>
        <w:rPr>
          <w:i/>
          <w:iCs/>
          <w:sz w:val="20"/>
          <w:szCs w:val="20"/>
        </w:rPr>
        <w:instrText>sg</w:instrText>
      </w:r>
      <w:r>
        <w:rPr>
          <w:sz w:val="20"/>
          <w:szCs w:val="20"/>
        </w:rPr>
        <w:instrText>5</w:instrText>
      </w:r>
      <w:r>
        <w:instrText>)=</w:instrText>
      </w:r>
      <w:r>
        <w:instrText>−</w:instrText>
      </w:r>
      <w:r>
        <w:instrText>1.0,</w:instrText>
      </w:r>
      <w:r>
        <w:rPr>
          <w:i/>
          <w:iCs/>
        </w:rPr>
        <w:instrText>f</w:instrText>
      </w:r>
      <w:r>
        <w:instrText>\s\do6(</w:instrText>
      </w:r>
      <w:r>
        <w:rPr>
          <w:i/>
          <w:iCs/>
          <w:sz w:val="20"/>
          <w:szCs w:val="20"/>
        </w:rPr>
        <w:instrText>sg</w:instrText>
      </w:r>
      <w:r>
        <w:rPr>
          <w:sz w:val="20"/>
          <w:szCs w:val="20"/>
        </w:rPr>
        <w:instrText>6</w:instrText>
      </w:r>
      <w:r>
        <w:instrText>)=</w:instrText>
      </w:r>
      <w:r>
        <w:instrText>−</w:instrText>
      </w:r>
      <w:r>
        <w:instrText>0.5))</w:instrText>
      </w:r>
      <w:r>
        <w:rPr>
          <w:i/>
          <w:iCs/>
        </w:rPr>
        <w:instrText>sg</w:instrText>
      </w:r>
      <w:r>
        <w:instrText>\s\up6(</w:instrText>
      </w:r>
      <w:r>
        <w:rPr>
          <w:sz w:val="20"/>
          <w:szCs w:val="20"/>
        </w:rPr>
        <w:instrText>*</w:instrText>
      </w:r>
      <w:r>
        <w:instrText>)</w:instrText>
      </w:r>
      <w:r>
        <w:instrText>≥</w:instrText>
      </w:r>
      <w:r>
        <w:instrText>0       \b \rc\} ( \a \ac \co1 (</w:instrText>
      </w:r>
      <w:r>
        <w:rPr>
          <w:i/>
          <w:iCs/>
        </w:rPr>
        <w:instrText>f</w:instrText>
      </w:r>
      <w:r>
        <w:instrText>\s\do6(</w:instrText>
      </w:r>
      <w:r>
        <w:rPr>
          <w:i/>
          <w:iCs/>
          <w:sz w:val="20"/>
          <w:szCs w:val="20"/>
        </w:rPr>
        <w:instrText>sg</w:instrText>
      </w:r>
      <w:r>
        <w:rPr>
          <w:sz w:val="20"/>
          <w:szCs w:val="20"/>
        </w:rPr>
        <w:instrText>1</w:instrText>
      </w:r>
      <w:r>
        <w:instrText>)=</w:instrText>
      </w:r>
      <w:r>
        <w:instrText>−</w:instrText>
      </w:r>
      <w:r>
        <w:instrText>0.5,</w:instrText>
      </w:r>
      <w:r>
        <w:rPr>
          <w:i/>
          <w:iCs/>
        </w:rPr>
        <w:instrText>f</w:instrText>
      </w:r>
      <w:r>
        <w:instrText>\s\do6(</w:instrText>
      </w:r>
      <w:r>
        <w:rPr>
          <w:i/>
          <w:iCs/>
          <w:sz w:val="20"/>
          <w:szCs w:val="20"/>
        </w:rPr>
        <w:instrText>sg</w:instrText>
      </w:r>
      <w:r>
        <w:rPr>
          <w:sz w:val="20"/>
          <w:szCs w:val="20"/>
        </w:rPr>
        <w:instrText>2</w:instrText>
      </w:r>
      <w:r>
        <w:instrText>)=</w:instrText>
      </w:r>
      <w:r>
        <w:instrText>−</w:instrText>
      </w:r>
      <w:r>
        <w:instrText>1.0,</w:instrText>
      </w:r>
      <w:r>
        <w:rPr>
          <w:i/>
          <w:iCs/>
        </w:rPr>
        <w:instrText>f</w:instrText>
      </w:r>
      <w:r>
        <w:instrText>\s\do6(</w:instrText>
      </w:r>
      <w:r>
        <w:rPr>
          <w:i/>
          <w:iCs/>
          <w:sz w:val="20"/>
          <w:szCs w:val="20"/>
        </w:rPr>
        <w:instrText>sg</w:instrText>
      </w:r>
      <w:r>
        <w:rPr>
          <w:sz w:val="20"/>
          <w:szCs w:val="20"/>
        </w:rPr>
        <w:instrText>5</w:instrText>
      </w:r>
      <w:r>
        <w:instrText>)=</w:instrText>
      </w:r>
      <w:r>
        <w:instrText>−</w:instrText>
      </w:r>
      <w:r>
        <w:instrText>1.5,</w:instrText>
      </w:r>
      <w:r>
        <w:rPr>
          <w:i/>
          <w:iCs/>
        </w:rPr>
        <w:instrText>f</w:instrText>
      </w:r>
      <w:r>
        <w:instrText>\s\do6(</w:instrText>
      </w:r>
      <w:r>
        <w:rPr>
          <w:i/>
          <w:iCs/>
          <w:sz w:val="20"/>
          <w:szCs w:val="20"/>
        </w:rPr>
        <w:instrText>sg</w:instrText>
      </w:r>
      <w:r>
        <w:rPr>
          <w:sz w:val="20"/>
          <w:szCs w:val="20"/>
        </w:rPr>
        <w:instrText>6</w:instrText>
      </w:r>
      <w:r>
        <w:instrText>)=</w:instrText>
      </w:r>
      <w:r>
        <w:instrText>−</w:instrText>
      </w:r>
      <w:r>
        <w:instrText>0.5))</w:instrText>
      </w:r>
      <w:r>
        <w:rPr>
          <w:i/>
          <w:iCs/>
        </w:rPr>
        <w:instrText>sg</w:instrText>
      </w:r>
      <w:r>
        <w:instrText>\s\up6(</w:instrText>
      </w:r>
      <w:r>
        <w:rPr>
          <w:sz w:val="20"/>
          <w:szCs w:val="20"/>
        </w:rPr>
        <w:instrText>*</w:instrText>
      </w:r>
      <w:r>
        <w:instrText>)&lt;0</w:instrText>
      </w:r>
      <w:r>
        <w:fldChar w:fldCharType="end"/>
      </w:r>
      <w:r>
        <w:tab/>
        <w:t>(41)</w:t>
      </w:r>
    </w:p>
    <w:p w:rsidR="00000000" w:rsidRDefault="00B4505B">
      <w:pPr>
        <w:ind w:firstLine="360"/>
      </w:pPr>
      <w:r>
        <w:t>Due to an acute sensitivity to the details of the crosswind profile, it is not possible to combine multiple landing cases for comparison with the model as has been done for the baseline, turbulence, and stable stratification cases discussed previously. Ins</w:t>
      </w:r>
      <w:r>
        <w:t xml:space="preserve">tead we compare a single case that is representative of moderate to strong crosswind shear gradients. These results are shown in Figure </w:t>
      </w:r>
      <w:fldSimple w:instr="REF BMfig_fra_crosswind \* MERGEFORMAT ">
        <w:r>
          <w:t>25</w:t>
        </w:r>
      </w:fldSimple>
      <w:r>
        <w:t>. For comparison, the prediction of the VIPER 2.0 model is included in these</w:t>
      </w:r>
      <w:r>
        <w:t xml:space="preserve"> figures.</w:t>
      </w:r>
    </w:p>
    <w:p w:rsidR="00000000" w:rsidRDefault="00B4505B">
      <w:pPr>
        <w:pStyle w:val="Figure"/>
        <w:spacing w:before="240"/>
        <w:ind w:firstLine="360"/>
        <w:rPr>
          <w:sz w:val="24"/>
          <w:szCs w:val="24"/>
        </w:rPr>
      </w:pPr>
    </w:p>
    <w:p w:rsidR="00000000" w:rsidRDefault="00B4505B">
      <w:pPr>
        <w:pStyle w:val="centerpar"/>
        <w:ind w:firstLine="360"/>
      </w:pPr>
      <w:r>
        <w:lastRenderedPageBreak/>
        <w:drawing>
          <wp:inline distT="0" distB="0" distL="0" distR="0">
            <wp:extent cx="4114800" cy="28829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srcRect/>
                    <a:stretch>
                      <a:fillRect/>
                    </a:stretch>
                  </pic:blipFill>
                  <pic:spPr bwMode="auto">
                    <a:xfrm>
                      <a:off x="0" y="0"/>
                      <a:ext cx="4114800" cy="2882900"/>
                    </a:xfrm>
                    <a:prstGeom prst="rect">
                      <a:avLst/>
                    </a:prstGeom>
                    <a:noFill/>
                    <a:ln w="9525">
                      <a:noFill/>
                      <a:miter lim="800000"/>
                      <a:headEnd/>
                      <a:tailEnd/>
                    </a:ln>
                  </pic:spPr>
                </pic:pic>
              </a:graphicData>
            </a:graphic>
          </wp:inline>
        </w:drawing>
      </w:r>
      <w:r>
        <w:t xml:space="preserve"> </w:t>
      </w:r>
    </w:p>
    <w:p w:rsidR="00000000" w:rsidRDefault="00B4505B">
      <w:pPr>
        <w:pStyle w:val="centerpar"/>
        <w:ind w:firstLine="360"/>
      </w:pPr>
      <w:r>
        <w:drawing>
          <wp:inline distT="0" distB="0" distL="0" distR="0">
            <wp:extent cx="4114800" cy="288290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srcRect/>
                    <a:stretch>
                      <a:fillRect/>
                    </a:stretch>
                  </pic:blipFill>
                  <pic:spPr bwMode="auto">
                    <a:xfrm>
                      <a:off x="0" y="0"/>
                      <a:ext cx="4114800" cy="2882900"/>
                    </a:xfrm>
                    <a:prstGeom prst="rect">
                      <a:avLst/>
                    </a:prstGeom>
                    <a:noFill/>
                    <a:ln w="9525">
                      <a:noFill/>
                      <a:miter lim="800000"/>
                      <a:headEnd/>
                      <a:tailEnd/>
                    </a:ln>
                  </pic:spPr>
                </pic:pic>
              </a:graphicData>
            </a:graphic>
          </wp:inline>
        </w:drawing>
      </w:r>
    </w:p>
    <w:p w:rsidR="00000000" w:rsidRDefault="00B4505B">
      <w:pPr>
        <w:pStyle w:val="Caption"/>
      </w:pPr>
      <w:r>
        <w:t xml:space="preserve">Figure </w:t>
      </w:r>
      <w:bookmarkStart w:id="61" w:name="BMfig_fra_crosswind"/>
      <w:r>
        <w:t>25</w:t>
      </w:r>
      <w:bookmarkEnd w:id="61"/>
      <w:r>
        <w:t>: Model prediction compared with case OGE-B744-155 of the Frankfurt 2004 landing data. The top figure shows the circulation</w:t>
      </w:r>
      <w:r>
        <w:t xml:space="preserve"> decay and the bottom figure shows the vortex trajectory.</w:t>
      </w:r>
      <w:r>
        <w:fldChar w:fldCharType="begin"/>
      </w:r>
      <w:r>
        <w:instrText>TC "25 Model prediction compared with case OGE-B744-155 of the Frankfurt 2004 landing data. The top figure shows the circulation decay and the bottom figure shows the vortex trajectory." \f f</w:instrText>
      </w:r>
      <w:r>
        <w:fldChar w:fldCharType="end"/>
      </w:r>
    </w:p>
    <w:p w:rsidR="00000000" w:rsidRDefault="00B4505B">
      <w:pPr>
        <w:spacing w:before="240"/>
        <w:ind w:firstLine="360"/>
      </w:pPr>
      <w:r>
        <w:t>While</w:t>
      </w:r>
      <w:r>
        <w:t xml:space="preserve"> both VIPER 3.0 and VIPER 2.0 predict the circulation asymmetry reasonably well, the VIPER 3.0 model is slightly more accurate. The same thing can be said regarding the vortex trajectory, where the VIPER 3.0 model shows a slight advantage. These results ar</w:t>
      </w:r>
      <w:r>
        <w:t>e typical of other cases with significant crosswind shear gradients in the Frankfurt 2004 landing data where VIPER 3.0 is almost always more accurate than VIPER 2.0.</w:t>
      </w:r>
    </w:p>
    <w:p w:rsidR="00000000" w:rsidRDefault="00B4505B">
      <w:pPr>
        <w:pStyle w:val="Heading2"/>
        <w:widowControl/>
      </w:pPr>
      <w:r>
        <w:t>6  Summary</w:t>
      </w:r>
    </w:p>
    <w:p w:rsidR="00000000" w:rsidRDefault="00B4505B">
      <w:pPr>
        <w:spacing w:before="60"/>
      </w:pPr>
      <w:r>
        <w:t>A new fast vortex wake model that makes use of an analytic vortex diffusion mod</w:t>
      </w:r>
      <w:r>
        <w:t xml:space="preserve">el in conjunction with simple vortex induction scheme has been developed. This model </w:t>
      </w:r>
      <w:r>
        <w:lastRenderedPageBreak/>
        <w:t>represents a departure from traditional models that rely on a control volume analysis in order to predict the primary vortex decay and trajectory. Compared with these trad</w:t>
      </w:r>
      <w:r>
        <w:t>itional models, our new model is much simpler to understand, program, and modify, and yields predictions that are typically more accurate than the control-volume based VIPER 2.0 model.</w:t>
      </w:r>
    </w:p>
    <w:p w:rsidR="00000000" w:rsidRDefault="00B4505B">
      <w:pPr>
        <w:ind w:firstLine="360"/>
      </w:pPr>
      <w:r>
        <w:t>At the core of VIPER 3.0 is an analytic model for the primary vortex de</w:t>
      </w:r>
      <w:r>
        <w:t>cay which is built on experimental observations. This model predicts an initial linear rate of decay followed by an exponential decay for asymptotically late times. One important by-product of the analytic vortex decay model is the radial distribution of e</w:t>
      </w:r>
      <w:r>
        <w:t>ddy viscosity required to produce the experimentally-observed profile shape and circulation decay rate. This feature enables detailed numerical simulations of vortex pairs subject to environmental factors such as turbulence, buoyancy, and wind shear gradie</w:t>
      </w:r>
      <w:r>
        <w:t>nts. Simulations of this type were undertaken and the resulting data were used to develop the vortex induction component of the model. The numerical simulation results show that the vorticity diffused from the primary vortices is largely deposited in rings</w:t>
      </w:r>
      <w:r>
        <w:t xml:space="preserve"> or "halos" at a radius slightly greater than one half the separation between the two vortices. The halo vorticity induces a velocity field that plays an important role in the trajectory of the primary vortices. The net induction due to the halo is modeled</w:t>
      </w:r>
      <w:r>
        <w:t xml:space="preserve"> as a system of six discrete vortices surrounding the primary vortex pair. The numerical simulation data was used to determine optimal positions and distributions of the halo vorticity among the six vortices, while ensuring a global conservation of circula</w:t>
      </w:r>
      <w:r>
        <w:t>tion. Making use of both numerical simulation and aircraft landing data, appropriate adjustments to the model were made in order to account for the effects of ambient turbulence, buoyancy, and crosswind shear gradients.</w:t>
      </w:r>
    </w:p>
    <w:p w:rsidR="00000000" w:rsidRDefault="00B4505B">
      <w:pPr>
        <w:ind w:firstLine="360"/>
      </w:pPr>
      <w:r>
        <w:t>While the VIPER 3.0 model contains a</w:t>
      </w:r>
      <w:r>
        <w:t xml:space="preserve"> number of parameters, most of these appear to be universal and thus may be taken to be constants. In fact, only one parameter required small adjustments in order to match both the numerical simulation and Frankfurt 2004 aircraft landing data when the effe</w:t>
      </w:r>
      <w:r>
        <w:t xml:space="preserve">cts of turbulence and buoyancy are to be accounted for. The crosswind shear gradient component of the model is not as robust, however, and a total of 7 parameters were adjusted in order to simultaneously match the numerical simulation and aircraft landing </w:t>
      </w:r>
      <w:r>
        <w:t>data.</w:t>
      </w:r>
    </w:p>
    <w:p w:rsidR="00000000" w:rsidRDefault="00B4505B">
      <w:pPr>
        <w:ind w:firstLine="360"/>
      </w:pPr>
      <w:r>
        <w:t xml:space="preserve">The VIPER 3.0 model is </w:t>
      </w:r>
      <w:r>
        <w:t>very simple and efficient to program. It requires less than 500 lines of code, which may be compared to almost 2500 for VIPER 2.0. The simplicity of the code is a significant advantage since it is very easy to understand and to modify. The model also autom</w:t>
      </w:r>
      <w:r>
        <w:t xml:space="preserve">atically accounts for the presence of the ground plane and thus is also applicable to altitudes in the near ground effect regime. At lower altitudes, VIPER 3.0 turns the solution over to the in ground effect (IGE) component of the viper model. It is worth </w:t>
      </w:r>
      <w:r>
        <w:t>noting that the VIPER_IGE model itself uses a vortex induction scheme instead of a control volume analysis. Thus the VIPER 3.0 model is consistent in its modeling approach of the OGE and IGE regimes.</w:t>
      </w:r>
    </w:p>
    <w:p w:rsidR="00000000" w:rsidRDefault="00B4505B">
      <w:pPr>
        <w:pStyle w:val="bibheading"/>
        <w:widowControl/>
        <w:spacing w:before="120"/>
      </w:pPr>
      <w:r>
        <w:t>References</w:t>
      </w:r>
    </w:p>
    <w:p w:rsidR="00000000" w:rsidRDefault="00B4505B">
      <w:pPr>
        <w:pStyle w:val="bibitem"/>
        <w:widowControl/>
        <w:spacing w:before="60"/>
        <w:ind w:left="450" w:firstLine="0"/>
      </w:pPr>
      <w:r>
        <w:t>[</w:t>
      </w:r>
      <w:bookmarkStart w:id="62" w:name="BIB_bh78"/>
      <w:r>
        <w:t>1</w:t>
      </w:r>
      <w:bookmarkEnd w:id="62"/>
      <w:r>
        <w:t>]</w:t>
      </w:r>
      <w:r>
        <w:tab/>
        <w:t>Burnham, D. C., J. N. Hal</w:t>
      </w:r>
      <w:r>
        <w:t>lock, I. H. Tombach, M. R. Brashears, and M. R. Barber, “Ground-Based Measurements of the Wake Vortex Characteristics of a B-747 Aircraft in Various Configurations,” Department of Transportation, Transportation Systems Center, FAA-RD-78-146, Cambridge, MA,</w:t>
      </w:r>
      <w:r>
        <w:t xml:space="preserve"> 1978. </w:t>
      </w:r>
    </w:p>
    <w:p w:rsidR="00000000" w:rsidRDefault="00B4505B">
      <w:pPr>
        <w:pStyle w:val="bibitem"/>
        <w:widowControl/>
        <w:ind w:left="450" w:firstLine="0"/>
      </w:pPr>
      <w:r>
        <w:t>[</w:t>
      </w:r>
      <w:bookmarkStart w:id="63" w:name="BIB_bh82"/>
      <w:r>
        <w:t>2</w:t>
      </w:r>
      <w:bookmarkEnd w:id="63"/>
      <w:r>
        <w:t>]</w:t>
      </w:r>
      <w:r>
        <w:tab/>
        <w:t xml:space="preserve">Burnham, D. C., and J. N. Hallock, “Chicago Monostatis Acoustic Vortex Sensing System, Volume IV: Wake Vortex Decay,” FAA-RD-79-103, Transportation Systems Center, Cambridge, MA, 1982. </w:t>
      </w:r>
    </w:p>
    <w:p w:rsidR="00000000" w:rsidRDefault="00B4505B">
      <w:pPr>
        <w:pStyle w:val="bibitem"/>
        <w:widowControl/>
        <w:ind w:left="450" w:firstLine="0"/>
      </w:pPr>
      <w:r>
        <w:t>[</w:t>
      </w:r>
      <w:bookmarkStart w:id="64" w:name="BIB_bh13"/>
      <w:r>
        <w:t>3</w:t>
      </w:r>
      <w:bookmarkEnd w:id="64"/>
      <w:r>
        <w:t>]</w:t>
      </w:r>
      <w:r>
        <w:tab/>
        <w:t>Burnham, D. C., and J.</w:t>
      </w:r>
      <w:r>
        <w:t xml:space="preserve"> N. Hallock, “Decay Characteristics of Wake Vortices from Jet Transport Aircraft,” </w:t>
      </w:r>
      <w:r>
        <w:rPr>
          <w:i/>
          <w:iCs/>
        </w:rPr>
        <w:t>J. Aircraft</w:t>
      </w:r>
      <w:r>
        <w:t xml:space="preserve">, </w:t>
      </w:r>
      <w:r>
        <w:rPr>
          <w:b/>
          <w:bCs/>
        </w:rPr>
        <w:t>50</w:t>
      </w:r>
      <w:r>
        <w:t xml:space="preserve">, 82-87, 2013. </w:t>
      </w:r>
    </w:p>
    <w:p w:rsidR="00000000" w:rsidRDefault="00B4505B">
      <w:pPr>
        <w:pStyle w:val="bibitem"/>
        <w:widowControl/>
        <w:ind w:left="450" w:firstLine="0"/>
      </w:pPr>
      <w:r>
        <w:lastRenderedPageBreak/>
        <w:t>[</w:t>
      </w:r>
      <w:bookmarkStart w:id="65" w:name="BIB_delisi03"/>
      <w:r>
        <w:t>4</w:t>
      </w:r>
      <w:bookmarkEnd w:id="65"/>
      <w:r>
        <w:t>]</w:t>
      </w:r>
      <w:r>
        <w:tab/>
        <w:t>Delisi, D. P, G. C. Greene, R. E. Robins, D. C. Vicroy, and F. Y. Wang, “Aircraft Wake Vortex Core Size Measuremen</w:t>
      </w:r>
      <w:r>
        <w:t xml:space="preserve">ts,” AIAA Paper 2003-3811, 21st Applied Aerodynamics Conference, Orlando, FL, June 23-26, 2003. </w:t>
      </w:r>
    </w:p>
    <w:sectPr w:rsidR="00000000">
      <w:footerReference w:type="default" r:id="rId57"/>
      <w:pgSz w:w="12280" w:h="15900"/>
      <w:pgMar w:top="956" w:right="2168" w:bottom="613"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B4505B">
      <w:r>
        <w:separator/>
      </w:r>
    </w:p>
  </w:endnote>
  <w:endnote w:type="continuationSeparator" w:id="0">
    <w:p w:rsidR="00000000" w:rsidRDefault="00B4505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TIXGeneral">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4505B">
    <w:pPr>
      <w:widowControl w:val="0"/>
      <w:jc w:val="center"/>
    </w:pPr>
    <w:r>
      <w:pgNum/>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B4505B">
      <w:r>
        <w:separator/>
      </w:r>
    </w:p>
  </w:footnote>
  <w:footnote w:type="continuationSeparator" w:id="0">
    <w:p w:rsidR="00000000" w:rsidRDefault="00B4505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49FC"/>
    <w:rsid w:val="000F49FC"/>
    <w:rsid w:val="00B450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autoSpaceDE w:val="0"/>
      <w:autoSpaceDN w:val="0"/>
      <w:adjustRightInd w:val="0"/>
      <w:spacing w:after="0" w:line="240" w:lineRule="auto"/>
      <w:jc w:val="both"/>
    </w:pPr>
    <w:rPr>
      <w:rFonts w:ascii="Times New Roman" w:hAnsi="Times New Roman" w:cs="Times New Roman"/>
      <w:noProof/>
      <w:sz w:val="24"/>
      <w:szCs w:val="24"/>
    </w:rPr>
  </w:style>
  <w:style w:type="paragraph" w:styleId="Heading1">
    <w:name w:val="heading 1"/>
    <w:basedOn w:val="Normal"/>
    <w:next w:val="Normal"/>
    <w:link w:val="Heading1Char"/>
    <w:uiPriority w:val="99"/>
    <w:qFormat/>
    <w:pPr>
      <w:keepNext/>
      <w:widowControl w:val="0"/>
      <w:spacing w:before="240" w:after="120"/>
      <w:jc w:val="left"/>
      <w:outlineLvl w:val="0"/>
    </w:pPr>
    <w:rPr>
      <w:b/>
      <w:bCs/>
      <w:sz w:val="40"/>
      <w:szCs w:val="40"/>
    </w:rPr>
  </w:style>
  <w:style w:type="paragraph" w:styleId="Heading2">
    <w:name w:val="heading 2"/>
    <w:basedOn w:val="Normal"/>
    <w:next w:val="Normal"/>
    <w:link w:val="Heading2Char"/>
    <w:uiPriority w:val="99"/>
    <w:qFormat/>
    <w:pPr>
      <w:keepNext/>
      <w:widowControl w:val="0"/>
      <w:spacing w:before="240" w:after="120"/>
      <w:jc w:val="left"/>
      <w:outlineLvl w:val="1"/>
    </w:pPr>
    <w:rPr>
      <w:b/>
      <w:bCs/>
      <w:sz w:val="32"/>
      <w:szCs w:val="32"/>
    </w:rPr>
  </w:style>
  <w:style w:type="paragraph" w:styleId="Heading3">
    <w:name w:val="heading 3"/>
    <w:basedOn w:val="Normal"/>
    <w:next w:val="Normal"/>
    <w:link w:val="Heading3Char"/>
    <w:uiPriority w:val="99"/>
    <w:qFormat/>
    <w:pPr>
      <w:keepNext/>
      <w:widowControl w:val="0"/>
      <w:spacing w:before="240" w:after="120"/>
      <w:jc w:val="left"/>
      <w:outlineLvl w:val="2"/>
    </w:pPr>
    <w:rPr>
      <w:b/>
      <w:bCs/>
      <w:sz w:val="32"/>
      <w:szCs w:val="32"/>
    </w:rPr>
  </w:style>
  <w:style w:type="paragraph" w:styleId="Heading4">
    <w:name w:val="heading 4"/>
    <w:basedOn w:val="Normal"/>
    <w:next w:val="Normal"/>
    <w:link w:val="Heading4Char"/>
    <w:uiPriority w:val="99"/>
    <w:qFormat/>
    <w:pPr>
      <w:keepNext/>
      <w:widowControl w:val="0"/>
      <w:spacing w:before="240" w:after="120"/>
      <w:jc w:val="left"/>
      <w:outlineLvl w:val="3"/>
    </w:pPr>
    <w:rPr>
      <w:b/>
      <w:bCs/>
    </w:rPr>
  </w:style>
  <w:style w:type="paragraph" w:styleId="Heading5">
    <w:name w:val="heading 5"/>
    <w:basedOn w:val="Normal"/>
    <w:next w:val="Normal"/>
    <w:link w:val="Heading5Char"/>
    <w:uiPriority w:val="99"/>
    <w:qFormat/>
    <w:pPr>
      <w:keepNext/>
      <w:widowControl w:val="0"/>
      <w:spacing w:before="240" w:after="120"/>
      <w:jc w:val="left"/>
      <w:outlineLvl w:val="4"/>
    </w:pPr>
    <w:rPr>
      <w:b/>
      <w:bCs/>
    </w:rPr>
  </w:style>
  <w:style w:type="paragraph" w:styleId="Heading6">
    <w:name w:val="heading 6"/>
    <w:basedOn w:val="Normal"/>
    <w:next w:val="Normal"/>
    <w:link w:val="Heading6Char"/>
    <w:uiPriority w:val="99"/>
    <w:qFormat/>
    <w:pPr>
      <w:keepNext/>
      <w:widowControl w:val="0"/>
      <w:spacing w:before="240" w:after="120"/>
      <w:jc w:val="left"/>
      <w:outlineLvl w:val="5"/>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t">
    <w:name w:val="Part"/>
    <w:basedOn w:val="Normal"/>
    <w:next w:val="Normal"/>
    <w:uiPriority w:val="99"/>
    <w:pPr>
      <w:keepNext/>
      <w:widowControl w:val="0"/>
      <w:spacing w:before="240" w:after="120"/>
      <w:jc w:val="center"/>
    </w:pPr>
    <w:rPr>
      <w:b/>
      <w:bCs/>
      <w:sz w:val="40"/>
      <w:szCs w:val="40"/>
    </w:rPr>
  </w:style>
  <w:style w:type="character" w:customStyle="1" w:styleId="Heading1Char">
    <w:name w:val="Heading 1 Char"/>
    <w:basedOn w:val="DefaultParagraphFont"/>
    <w:link w:val="Heading1"/>
    <w:uiPriority w:val="9"/>
    <w:rPr>
      <w:rFonts w:asciiTheme="majorHAnsi" w:eastAsiaTheme="majorEastAsia" w:hAnsiTheme="majorHAnsi" w:cstheme="majorBidi"/>
      <w:b/>
      <w:bCs/>
      <w:noProof/>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noProof/>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noProof/>
      <w:sz w:val="26"/>
      <w:szCs w:val="26"/>
    </w:rPr>
  </w:style>
  <w:style w:type="character" w:customStyle="1" w:styleId="Heading4Char">
    <w:name w:val="Heading 4 Char"/>
    <w:basedOn w:val="DefaultParagraphFont"/>
    <w:link w:val="Heading4"/>
    <w:uiPriority w:val="9"/>
    <w:semiHidden/>
    <w:rPr>
      <w:b/>
      <w:bCs/>
      <w:noProof/>
      <w:sz w:val="28"/>
      <w:szCs w:val="28"/>
    </w:rPr>
  </w:style>
  <w:style w:type="character" w:customStyle="1" w:styleId="Heading5Char">
    <w:name w:val="Heading 5 Char"/>
    <w:basedOn w:val="DefaultParagraphFont"/>
    <w:link w:val="Heading5"/>
    <w:uiPriority w:val="9"/>
    <w:semiHidden/>
    <w:rPr>
      <w:b/>
      <w:bCs/>
      <w:i/>
      <w:iCs/>
      <w:noProof/>
      <w:sz w:val="26"/>
      <w:szCs w:val="26"/>
    </w:rPr>
  </w:style>
  <w:style w:type="character" w:customStyle="1" w:styleId="Heading6Char">
    <w:name w:val="Heading 6 Char"/>
    <w:basedOn w:val="DefaultParagraphFont"/>
    <w:link w:val="Heading6"/>
    <w:uiPriority w:val="9"/>
    <w:semiHidden/>
    <w:rPr>
      <w:b/>
      <w:bCs/>
      <w:noProof/>
    </w:rPr>
  </w:style>
  <w:style w:type="paragraph" w:customStyle="1" w:styleId="rightpar">
    <w:name w:val="rightpar"/>
    <w:basedOn w:val="Normal"/>
    <w:uiPriority w:val="99"/>
    <w:pPr>
      <w:keepLines/>
      <w:spacing w:before="120" w:after="120"/>
      <w:jc w:val="right"/>
    </w:pPr>
  </w:style>
  <w:style w:type="paragraph" w:customStyle="1" w:styleId="centerpar">
    <w:name w:val="centerpar"/>
    <w:basedOn w:val="Normal"/>
    <w:uiPriority w:val="99"/>
    <w:pPr>
      <w:keepLines/>
      <w:spacing w:before="120" w:after="120"/>
      <w:jc w:val="center"/>
    </w:pPr>
  </w:style>
  <w:style w:type="paragraph" w:customStyle="1" w:styleId="equation">
    <w:name w:val="equation"/>
    <w:basedOn w:val="Normal"/>
    <w:next w:val="Normal"/>
    <w:uiPriority w:val="99"/>
    <w:pPr>
      <w:keepLines/>
      <w:spacing w:before="120" w:after="120"/>
      <w:jc w:val="left"/>
    </w:pPr>
  </w:style>
  <w:style w:type="paragraph" w:customStyle="1" w:styleId="equationNum">
    <w:name w:val="equationNum"/>
    <w:basedOn w:val="Normal"/>
    <w:next w:val="Normal"/>
    <w:uiPriority w:val="99"/>
    <w:pPr>
      <w:keepLines/>
      <w:spacing w:before="120" w:after="120"/>
      <w:jc w:val="left"/>
    </w:pPr>
  </w:style>
  <w:style w:type="paragraph" w:customStyle="1" w:styleId="equationAlign">
    <w:name w:val="equationAlign"/>
    <w:basedOn w:val="Normal"/>
    <w:next w:val="Normal"/>
    <w:uiPriority w:val="99"/>
    <w:pPr>
      <w:keepLines/>
      <w:spacing w:before="120" w:after="120"/>
      <w:jc w:val="left"/>
    </w:pPr>
  </w:style>
  <w:style w:type="paragraph" w:customStyle="1" w:styleId="equationAlignNum">
    <w:name w:val="equationAlignNum"/>
    <w:basedOn w:val="Normal"/>
    <w:next w:val="Normal"/>
    <w:uiPriority w:val="99"/>
    <w:pPr>
      <w:keepLines/>
      <w:spacing w:before="120" w:after="120"/>
      <w:jc w:val="left"/>
    </w:pPr>
  </w:style>
  <w:style w:type="paragraph" w:customStyle="1" w:styleId="equationArray">
    <w:name w:val="equationArray"/>
    <w:basedOn w:val="Normal"/>
    <w:next w:val="Normal"/>
    <w:uiPriority w:val="99"/>
    <w:pPr>
      <w:keepLines/>
      <w:spacing w:before="120" w:after="120"/>
      <w:jc w:val="left"/>
    </w:pPr>
  </w:style>
  <w:style w:type="paragraph" w:customStyle="1" w:styleId="equationArrayNum">
    <w:name w:val="equationArrayNum"/>
    <w:basedOn w:val="Normal"/>
    <w:next w:val="Normal"/>
    <w:uiPriority w:val="99"/>
    <w:pPr>
      <w:keepLines/>
      <w:spacing w:before="120" w:after="120"/>
      <w:jc w:val="left"/>
    </w:pPr>
  </w:style>
  <w:style w:type="paragraph" w:customStyle="1" w:styleId="theorem">
    <w:name w:val="theorem"/>
    <w:basedOn w:val="Normal"/>
    <w:next w:val="Normal"/>
    <w:uiPriority w:val="99"/>
    <w:pPr>
      <w:keepLines/>
      <w:spacing w:before="120" w:after="120"/>
      <w:jc w:val="left"/>
    </w:pPr>
    <w:rPr>
      <w:sz w:val="20"/>
      <w:szCs w:val="20"/>
    </w:rPr>
  </w:style>
  <w:style w:type="paragraph" w:customStyle="1" w:styleId="bitmapCenter">
    <w:name w:val="bitmapCenter"/>
    <w:basedOn w:val="Normal"/>
    <w:next w:val="Normal"/>
    <w:uiPriority w:val="99"/>
    <w:pPr>
      <w:keepLines/>
      <w:spacing w:before="120" w:after="120"/>
      <w:jc w:val="left"/>
    </w:pPr>
  </w:style>
  <w:style w:type="paragraph" w:styleId="Title">
    <w:name w:val="Title"/>
    <w:basedOn w:val="Normal"/>
    <w:next w:val="author"/>
    <w:link w:val="TitleChar"/>
    <w:uiPriority w:val="99"/>
    <w:qFormat/>
    <w:pPr>
      <w:widowControl w:val="0"/>
      <w:spacing w:before="240" w:after="240"/>
      <w:jc w:val="center"/>
    </w:pPr>
    <w:rPr>
      <w:b/>
      <w:bCs/>
      <w:sz w:val="36"/>
      <w:szCs w:val="36"/>
    </w:rPr>
  </w:style>
  <w:style w:type="character" w:customStyle="1" w:styleId="TitleChar">
    <w:name w:val="Title Char"/>
    <w:basedOn w:val="DefaultParagraphFont"/>
    <w:link w:val="Title"/>
    <w:uiPriority w:val="10"/>
    <w:rPr>
      <w:rFonts w:asciiTheme="majorHAnsi" w:eastAsiaTheme="majorEastAsia" w:hAnsiTheme="majorHAnsi" w:cstheme="majorBidi"/>
      <w:b/>
      <w:bCs/>
      <w:noProof/>
      <w:kern w:val="28"/>
      <w:sz w:val="32"/>
      <w:szCs w:val="32"/>
    </w:rPr>
  </w:style>
  <w:style w:type="paragraph" w:customStyle="1" w:styleId="author">
    <w:name w:val="author"/>
    <w:basedOn w:val="Normal"/>
    <w:next w:val="Normal"/>
    <w:uiPriority w:val="99"/>
    <w:pPr>
      <w:widowControl w:val="0"/>
      <w:spacing w:after="120"/>
      <w:jc w:val="center"/>
    </w:pPr>
  </w:style>
  <w:style w:type="paragraph" w:styleId="Footer">
    <w:name w:val="footer"/>
    <w:basedOn w:val="Normal"/>
    <w:link w:val="FooterChar"/>
    <w:uiPriority w:val="99"/>
    <w:pPr>
      <w:widowControl w:val="0"/>
      <w:tabs>
        <w:tab w:val="center" w:pos="4536"/>
        <w:tab w:val="right" w:pos="9072"/>
      </w:tabs>
      <w:jc w:val="left"/>
    </w:pPr>
    <w:rPr>
      <w:sz w:val="20"/>
      <w:szCs w:val="20"/>
    </w:rPr>
  </w:style>
  <w:style w:type="character" w:customStyle="1" w:styleId="FooterChar">
    <w:name w:val="Footer Char"/>
    <w:basedOn w:val="DefaultParagraphFont"/>
    <w:link w:val="Footer"/>
    <w:uiPriority w:val="99"/>
    <w:semiHidden/>
    <w:rPr>
      <w:rFonts w:ascii="Times New Roman" w:hAnsi="Times New Roman" w:cs="Times New Roman"/>
      <w:noProof/>
      <w:sz w:val="24"/>
      <w:szCs w:val="24"/>
    </w:rPr>
  </w:style>
  <w:style w:type="paragraph" w:styleId="Header">
    <w:name w:val="header"/>
    <w:basedOn w:val="Normal"/>
    <w:link w:val="HeaderChar"/>
    <w:uiPriority w:val="99"/>
    <w:pPr>
      <w:widowControl w:val="0"/>
      <w:tabs>
        <w:tab w:val="center" w:pos="4536"/>
        <w:tab w:val="right" w:pos="9072"/>
      </w:tabs>
      <w:jc w:val="left"/>
    </w:pPr>
    <w:rPr>
      <w:sz w:val="20"/>
      <w:szCs w:val="20"/>
    </w:rPr>
  </w:style>
  <w:style w:type="character" w:customStyle="1" w:styleId="HeaderChar">
    <w:name w:val="Header Char"/>
    <w:basedOn w:val="DefaultParagraphFont"/>
    <w:link w:val="Header"/>
    <w:uiPriority w:val="99"/>
    <w:semiHidden/>
    <w:rPr>
      <w:rFonts w:ascii="Times New Roman" w:hAnsi="Times New Roman" w:cs="Times New Roman"/>
      <w:noProof/>
      <w:sz w:val="24"/>
      <w:szCs w:val="24"/>
    </w:rPr>
  </w:style>
  <w:style w:type="paragraph" w:styleId="Caption">
    <w:name w:val="caption"/>
    <w:basedOn w:val="Normal"/>
    <w:next w:val="Normal"/>
    <w:uiPriority w:val="99"/>
    <w:qFormat/>
    <w:pPr>
      <w:keepLines/>
      <w:spacing w:before="120" w:after="120"/>
      <w:jc w:val="left"/>
    </w:pPr>
  </w:style>
  <w:style w:type="paragraph" w:customStyle="1" w:styleId="Figure">
    <w:name w:val="Figure"/>
    <w:basedOn w:val="Normal"/>
    <w:next w:val="Normal"/>
    <w:uiPriority w:val="99"/>
    <w:pPr>
      <w:keepLines/>
      <w:spacing w:before="120"/>
      <w:jc w:val="center"/>
    </w:pPr>
    <w:rPr>
      <w:sz w:val="20"/>
      <w:szCs w:val="20"/>
    </w:rPr>
  </w:style>
  <w:style w:type="paragraph" w:customStyle="1" w:styleId="Table">
    <w:name w:val="Table"/>
    <w:basedOn w:val="Normal"/>
    <w:uiPriority w:val="99"/>
    <w:pPr>
      <w:keepLines/>
      <w:spacing w:before="120"/>
      <w:jc w:val="center"/>
    </w:pPr>
    <w:rPr>
      <w:sz w:val="20"/>
      <w:szCs w:val="20"/>
    </w:rPr>
  </w:style>
  <w:style w:type="paragraph" w:customStyle="1" w:styleId="Tabular">
    <w:name w:val="Tabular"/>
    <w:basedOn w:val="Normal"/>
    <w:uiPriority w:val="99"/>
    <w:pPr>
      <w:keepLines/>
      <w:spacing w:before="120"/>
      <w:jc w:val="center"/>
    </w:pPr>
    <w:rPr>
      <w:sz w:val="20"/>
      <w:szCs w:val="20"/>
    </w:rPr>
  </w:style>
  <w:style w:type="paragraph" w:customStyle="1" w:styleId="Tabbing">
    <w:name w:val="Tabbing"/>
    <w:basedOn w:val="Normal"/>
    <w:uiPriority w:val="99"/>
    <w:pPr>
      <w:keepLines/>
      <w:spacing w:before="120"/>
      <w:jc w:val="center"/>
    </w:pPr>
    <w:rPr>
      <w:sz w:val="20"/>
      <w:szCs w:val="20"/>
    </w:rPr>
  </w:style>
  <w:style w:type="paragraph" w:styleId="Quote">
    <w:name w:val="Quote"/>
    <w:basedOn w:val="Normal"/>
    <w:link w:val="QuoteChar"/>
    <w:uiPriority w:val="99"/>
    <w:qFormat/>
    <w:pPr>
      <w:ind w:left="1024" w:right="1024" w:firstLine="340"/>
    </w:pPr>
    <w:rPr>
      <w:sz w:val="20"/>
      <w:szCs w:val="20"/>
    </w:rPr>
  </w:style>
  <w:style w:type="character" w:customStyle="1" w:styleId="QuoteChar">
    <w:name w:val="Quote Char"/>
    <w:basedOn w:val="DefaultParagraphFont"/>
    <w:link w:val="Quote"/>
    <w:uiPriority w:val="29"/>
    <w:rPr>
      <w:rFonts w:ascii="Times New Roman" w:hAnsi="Times New Roman" w:cs="Times New Roman"/>
      <w:i/>
      <w:iCs/>
      <w:noProof/>
      <w:color w:val="000000" w:themeColor="text1"/>
      <w:sz w:val="24"/>
      <w:szCs w:val="24"/>
    </w:rPr>
  </w:style>
  <w:style w:type="paragraph" w:customStyle="1" w:styleId="verbatim">
    <w:name w:val="verbatim"/>
    <w:uiPriority w:val="99"/>
    <w:pPr>
      <w:autoSpaceDE w:val="0"/>
      <w:autoSpaceDN w:val="0"/>
      <w:adjustRightInd w:val="0"/>
      <w:spacing w:after="0" w:line="240" w:lineRule="auto"/>
    </w:pPr>
    <w:rPr>
      <w:rFonts w:ascii="Courier New" w:hAnsi="Courier New" w:cs="Courier New"/>
      <w:noProof/>
      <w:sz w:val="24"/>
      <w:szCs w:val="24"/>
    </w:rPr>
  </w:style>
  <w:style w:type="paragraph" w:styleId="List">
    <w:name w:val="List"/>
    <w:basedOn w:val="Normal"/>
    <w:uiPriority w:val="99"/>
    <w:pPr>
      <w:tabs>
        <w:tab w:val="left" w:pos="283"/>
      </w:tabs>
      <w:spacing w:after="120"/>
      <w:ind w:left="283" w:hanging="283"/>
      <w:jc w:val="left"/>
    </w:pPr>
    <w:rPr>
      <w:sz w:val="20"/>
      <w:szCs w:val="20"/>
    </w:rPr>
  </w:style>
  <w:style w:type="paragraph" w:customStyle="1" w:styleId="List1">
    <w:name w:val="List 1"/>
    <w:basedOn w:val="Normal"/>
    <w:uiPriority w:val="99"/>
    <w:pPr>
      <w:tabs>
        <w:tab w:val="left" w:pos="283"/>
      </w:tabs>
      <w:spacing w:after="120"/>
      <w:ind w:left="283" w:hanging="283"/>
      <w:jc w:val="left"/>
    </w:pPr>
    <w:rPr>
      <w:sz w:val="20"/>
      <w:szCs w:val="20"/>
    </w:rPr>
  </w:style>
  <w:style w:type="paragraph" w:customStyle="1" w:styleId="latexpicture">
    <w:name w:val="latex picture"/>
    <w:basedOn w:val="Normal"/>
    <w:next w:val="Normal"/>
    <w:uiPriority w:val="99"/>
    <w:pPr>
      <w:keepLines/>
      <w:spacing w:before="120" w:after="120"/>
      <w:jc w:val="center"/>
    </w:pPr>
  </w:style>
  <w:style w:type="paragraph" w:customStyle="1" w:styleId="subfigure">
    <w:name w:val="subfigure"/>
    <w:basedOn w:val="Normal"/>
    <w:next w:val="Normal"/>
    <w:uiPriority w:val="99"/>
    <w:pPr>
      <w:keepLines/>
      <w:spacing w:before="120" w:after="120"/>
      <w:jc w:val="center"/>
    </w:pPr>
  </w:style>
  <w:style w:type="paragraph" w:customStyle="1" w:styleId="bibheading">
    <w:name w:val="bibheading"/>
    <w:basedOn w:val="Normal"/>
    <w:next w:val="bibitem"/>
    <w:uiPriority w:val="99"/>
    <w:pPr>
      <w:keepNext/>
      <w:widowControl w:val="0"/>
      <w:spacing w:before="240" w:after="120"/>
      <w:jc w:val="left"/>
    </w:pPr>
    <w:rPr>
      <w:b/>
      <w:bCs/>
      <w:sz w:val="32"/>
      <w:szCs w:val="32"/>
    </w:rPr>
  </w:style>
  <w:style w:type="paragraph" w:customStyle="1" w:styleId="bibitem">
    <w:name w:val="bibitem"/>
    <w:basedOn w:val="Normal"/>
    <w:uiPriority w:val="99"/>
    <w:pPr>
      <w:widowControl w:val="0"/>
      <w:ind w:left="567" w:hanging="567"/>
      <w:jc w:val="left"/>
    </w:pPr>
    <w:rPr>
      <w:sz w:val="20"/>
      <w:szCs w:val="20"/>
    </w:rPr>
  </w:style>
  <w:style w:type="paragraph" w:customStyle="1" w:styleId="endnotes">
    <w:name w:val="endnotes"/>
    <w:basedOn w:val="Normal"/>
    <w:uiPriority w:val="99"/>
    <w:pPr>
      <w:tabs>
        <w:tab w:val="left" w:pos="283"/>
      </w:tabs>
      <w:spacing w:after="120"/>
      <w:ind w:left="283" w:hanging="283"/>
      <w:jc w:val="left"/>
    </w:pPr>
    <w:rPr>
      <w:sz w:val="20"/>
      <w:szCs w:val="20"/>
    </w:rPr>
  </w:style>
  <w:style w:type="paragraph" w:styleId="FootnoteText">
    <w:name w:val="footnote text"/>
    <w:basedOn w:val="Normal"/>
    <w:link w:val="FootnoteTextChar"/>
    <w:uiPriority w:val="99"/>
    <w:pPr>
      <w:widowControl w:val="0"/>
      <w:ind w:left="397" w:hanging="113"/>
      <w:jc w:val="left"/>
    </w:pPr>
  </w:style>
  <w:style w:type="character" w:customStyle="1" w:styleId="FootnoteTextChar">
    <w:name w:val="Footnote Text Char"/>
    <w:basedOn w:val="DefaultParagraphFont"/>
    <w:link w:val="FootnoteText"/>
    <w:uiPriority w:val="99"/>
    <w:semiHidden/>
    <w:rPr>
      <w:rFonts w:ascii="Times New Roman" w:hAnsi="Times New Roman" w:cs="Times New Roman"/>
      <w:noProof/>
      <w:sz w:val="20"/>
      <w:szCs w:val="20"/>
    </w:rPr>
  </w:style>
  <w:style w:type="paragraph" w:styleId="EndnoteText">
    <w:name w:val="endnote text"/>
    <w:basedOn w:val="Normal"/>
    <w:link w:val="EndnoteTextChar"/>
    <w:uiPriority w:val="99"/>
    <w:pPr>
      <w:widowControl w:val="0"/>
      <w:ind w:left="454" w:hanging="170"/>
    </w:pPr>
  </w:style>
  <w:style w:type="character" w:customStyle="1" w:styleId="EndnoteTextChar">
    <w:name w:val="Endnote Text Char"/>
    <w:basedOn w:val="DefaultParagraphFont"/>
    <w:link w:val="EndnoteText"/>
    <w:uiPriority w:val="99"/>
    <w:semiHidden/>
    <w:rPr>
      <w:rFonts w:ascii="Times New Roman" w:hAnsi="Times New Roman" w:cs="Times New Roman"/>
      <w:noProof/>
      <w:sz w:val="20"/>
      <w:szCs w:val="20"/>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rPr>
      <w:vertAlign w:val="superscript"/>
    </w:rPr>
  </w:style>
  <w:style w:type="paragraph" w:customStyle="1" w:styleId="acronym">
    <w:name w:val="acronym"/>
    <w:basedOn w:val="Normal"/>
    <w:uiPriority w:val="99"/>
    <w:pPr>
      <w:keepNext/>
      <w:widowControl w:val="0"/>
      <w:spacing w:before="60" w:after="60"/>
      <w:jc w:val="left"/>
    </w:pPr>
  </w:style>
  <w:style w:type="paragraph" w:customStyle="1" w:styleId="abstracttitle">
    <w:name w:val="abstract title"/>
    <w:basedOn w:val="Normal"/>
    <w:next w:val="abstract"/>
    <w:uiPriority w:val="99"/>
    <w:pPr>
      <w:widowControl w:val="0"/>
      <w:spacing w:after="120"/>
      <w:jc w:val="center"/>
    </w:pPr>
    <w:rPr>
      <w:b/>
      <w:bCs/>
    </w:rPr>
  </w:style>
  <w:style w:type="paragraph" w:customStyle="1" w:styleId="abstract">
    <w:name w:val="abstract"/>
    <w:basedOn w:val="Normal"/>
    <w:next w:val="Normal"/>
    <w:uiPriority w:val="99"/>
    <w:pPr>
      <w:ind w:left="1024" w:right="1024" w:firstLine="340"/>
    </w:pPr>
  </w:style>
  <w:style w:type="paragraph" w:customStyle="1" w:styleId="contentsheading">
    <w:name w:val="contents_heading"/>
    <w:basedOn w:val="Normal"/>
    <w:next w:val="Normal"/>
    <w:uiPriority w:val="99"/>
    <w:pPr>
      <w:keepNext/>
      <w:widowControl w:val="0"/>
      <w:spacing w:before="240" w:after="120"/>
      <w:jc w:val="left"/>
    </w:pPr>
    <w:rPr>
      <w:b/>
      <w:bCs/>
      <w:sz w:val="20"/>
      <w:szCs w:val="20"/>
    </w:rPr>
  </w:style>
  <w:style w:type="paragraph" w:styleId="TOC1">
    <w:name w:val="toc 1"/>
    <w:basedOn w:val="Normal"/>
    <w:next w:val="TOC2"/>
    <w:uiPriority w:val="99"/>
    <w:pPr>
      <w:keepNext/>
      <w:widowControl w:val="0"/>
      <w:tabs>
        <w:tab w:val="right" w:leader="dot" w:pos="8222"/>
      </w:tabs>
      <w:spacing w:before="240" w:after="60"/>
      <w:ind w:left="425"/>
      <w:jc w:val="left"/>
    </w:pPr>
    <w:rPr>
      <w:b/>
      <w:bCs/>
    </w:rPr>
  </w:style>
  <w:style w:type="paragraph" w:styleId="TOC2">
    <w:name w:val="toc 2"/>
    <w:basedOn w:val="Normal"/>
    <w:next w:val="TOC3"/>
    <w:uiPriority w:val="99"/>
    <w:pPr>
      <w:keepNext/>
      <w:widowControl w:val="0"/>
      <w:tabs>
        <w:tab w:val="right" w:leader="dot" w:pos="8222"/>
      </w:tabs>
      <w:spacing w:before="60" w:after="60"/>
      <w:ind w:left="512"/>
      <w:jc w:val="left"/>
    </w:pPr>
  </w:style>
  <w:style w:type="paragraph" w:styleId="TOC3">
    <w:name w:val="toc 3"/>
    <w:basedOn w:val="Normal"/>
    <w:next w:val="TOC4"/>
    <w:uiPriority w:val="99"/>
    <w:pPr>
      <w:keepNext/>
      <w:widowControl w:val="0"/>
      <w:tabs>
        <w:tab w:val="right" w:leader="dot" w:pos="8222"/>
      </w:tabs>
      <w:spacing w:before="60" w:after="60"/>
      <w:ind w:left="1024"/>
      <w:jc w:val="left"/>
    </w:pPr>
  </w:style>
  <w:style w:type="paragraph" w:styleId="TOC4">
    <w:name w:val="toc 4"/>
    <w:basedOn w:val="Normal"/>
    <w:next w:val="TOC5"/>
    <w:uiPriority w:val="99"/>
    <w:pPr>
      <w:keepNext/>
      <w:widowControl w:val="0"/>
      <w:tabs>
        <w:tab w:val="right" w:leader="dot" w:pos="8222"/>
      </w:tabs>
      <w:spacing w:before="60" w:after="60"/>
      <w:ind w:left="1536"/>
      <w:jc w:val="left"/>
    </w:pPr>
  </w:style>
  <w:style w:type="paragraph" w:styleId="TOC5">
    <w:name w:val="toc 5"/>
    <w:basedOn w:val="Normal"/>
    <w:next w:val="TOC6"/>
    <w:uiPriority w:val="99"/>
    <w:pPr>
      <w:keepNext/>
      <w:widowControl w:val="0"/>
      <w:tabs>
        <w:tab w:val="right" w:leader="dot" w:pos="8222"/>
      </w:tabs>
      <w:spacing w:before="60" w:after="60"/>
      <w:ind w:left="2048"/>
      <w:jc w:val="left"/>
    </w:pPr>
  </w:style>
  <w:style w:type="paragraph" w:styleId="TOC6">
    <w:name w:val="toc 6"/>
    <w:basedOn w:val="Normal"/>
    <w:uiPriority w:val="99"/>
    <w:pPr>
      <w:keepNext/>
      <w:widowControl w:val="0"/>
      <w:tabs>
        <w:tab w:val="right" w:leader="dot" w:pos="8222"/>
      </w:tabs>
      <w:spacing w:before="60" w:after="60"/>
      <w:ind w:left="2560"/>
      <w:jc w:val="left"/>
    </w:pPr>
  </w:style>
  <w:style w:type="paragraph" w:styleId="BalloonText">
    <w:name w:val="Balloon Text"/>
    <w:basedOn w:val="Normal"/>
    <w:link w:val="BalloonTextChar"/>
    <w:uiPriority w:val="99"/>
    <w:semiHidden/>
    <w:unhideWhenUsed/>
    <w:rsid w:val="00B4505B"/>
    <w:rPr>
      <w:rFonts w:ascii="Tahoma" w:hAnsi="Tahoma" w:cs="Tahoma"/>
      <w:sz w:val="16"/>
      <w:szCs w:val="16"/>
    </w:rPr>
  </w:style>
  <w:style w:type="character" w:customStyle="1" w:styleId="BalloonTextChar">
    <w:name w:val="Balloon Text Char"/>
    <w:basedOn w:val="DefaultParagraphFont"/>
    <w:link w:val="BalloonText"/>
    <w:uiPriority w:val="99"/>
    <w:semiHidden/>
    <w:rsid w:val="00B4505B"/>
    <w:rPr>
      <w:rFonts w:ascii="Tahoma" w:hAnsi="Tahoma" w:cs="Tahoma"/>
      <w:noProof/>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10782</Words>
  <Characters>61458</Characters>
  <Application>Microsoft Office Word</Application>
  <DocSecurity>0</DocSecurity>
  <Lines>512</Lines>
  <Paragraphs>144</Paragraphs>
  <ScaleCrop>false</ScaleCrop>
  <Company/>
  <LinksUpToDate>false</LinksUpToDate>
  <CharactersWithSpaces>72096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Original file was viper30.tex</dc:title>
  <dc:creator>lund</dc:creator>
  <dc:description>Created using latex2rtf 2.3.8 r1240 (released June 16 2014) on Tue Mar  8 15:35:22 2016</dc:description>
  <cp:lastModifiedBy>lund</cp:lastModifiedBy>
  <cp:revision>2</cp:revision>
  <dcterms:created xsi:type="dcterms:W3CDTF">2016-03-08T22:47:00Z</dcterms:created>
  <dcterms:modified xsi:type="dcterms:W3CDTF">2016-03-08T22:47:00Z</dcterms:modified>
</cp:coreProperties>
</file>